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75EAC" w14:textId="77777777" w:rsidR="00E85EEA" w:rsidRDefault="00E85EEA">
      <w:pPr>
        <w:widowControl w:val="0"/>
        <w:pBdr>
          <w:top w:val="nil"/>
          <w:left w:val="nil"/>
          <w:bottom w:val="nil"/>
          <w:right w:val="nil"/>
          <w:between w:val="nil"/>
        </w:pBdr>
        <w:spacing w:line="276" w:lineRule="auto"/>
        <w:jc w:val="left"/>
      </w:pPr>
    </w:p>
    <w:p w14:paraId="390056F4" w14:textId="77777777" w:rsidR="00D8467A" w:rsidRPr="00D8467A" w:rsidRDefault="00D8467A" w:rsidP="00D8467A">
      <w:pPr>
        <w:tabs>
          <w:tab w:val="left" w:pos="9500"/>
        </w:tabs>
        <w:jc w:val="left"/>
        <w:rPr>
          <w:rFonts w:ascii="Times New Roman" w:eastAsia="Times New Roman" w:hAnsi="Times New Roman" w:cs="Times New Roman"/>
          <w:b/>
          <w:lang w:val="en-ZA"/>
        </w:rPr>
      </w:pPr>
      <w:r w:rsidRPr="00D8467A">
        <w:rPr>
          <w:rFonts w:ascii="Times New Roman" w:eastAsia="Times New Roman" w:hAnsi="Times New Roman" w:cs="Times New Roman"/>
          <w:b/>
          <w:lang w:val="en-ZA"/>
        </w:rPr>
        <w:t xml:space="preserve">Enhancing Oil-Water Separation: Impact of Nanoparticle Coatings on Quartz Particles </w:t>
      </w:r>
    </w:p>
    <w:p w14:paraId="051412DC" w14:textId="77777777" w:rsidR="00E85EEA" w:rsidRPr="00D8467A" w:rsidRDefault="00E85EEA">
      <w:pPr>
        <w:tabs>
          <w:tab w:val="left" w:pos="9500"/>
        </w:tabs>
        <w:jc w:val="left"/>
        <w:rPr>
          <w:rFonts w:ascii="Times New Roman" w:eastAsia="Times New Roman" w:hAnsi="Times New Roman" w:cs="Times New Roman"/>
          <w:b/>
          <w:lang w:val="en-ZA"/>
        </w:rPr>
      </w:pPr>
    </w:p>
    <w:p w14:paraId="6E24328C" w14:textId="1B9D978A" w:rsidR="00E85EEA" w:rsidRDefault="00D8467A">
      <w:pPr>
        <w:tabs>
          <w:tab w:val="left" w:pos="9500"/>
        </w:tabs>
        <w:jc w:val="left"/>
        <w:rPr>
          <w:rFonts w:ascii="Times New Roman" w:eastAsia="Times New Roman" w:hAnsi="Times New Roman" w:cs="Times New Roman"/>
          <w:i/>
          <w:sz w:val="18"/>
          <w:szCs w:val="18"/>
        </w:rPr>
      </w:pPr>
      <w:r>
        <w:rPr>
          <w:rFonts w:ascii="Times New Roman" w:eastAsia="Times New Roman" w:hAnsi="Times New Roman" w:cs="Times New Roman"/>
          <w:sz w:val="18"/>
          <w:szCs w:val="18"/>
        </w:rPr>
        <w:t>Nthabiseng J. Ramanamane</w:t>
      </w:r>
      <w:r>
        <w:rPr>
          <w:rFonts w:ascii="Times New Roman" w:eastAsia="Times New Roman" w:hAnsi="Times New Roman" w:cs="Times New Roman"/>
          <w:sz w:val="18"/>
          <w:szCs w:val="18"/>
          <w:highlight w:val="white"/>
          <w:vertAlign w:val="superscript"/>
        </w:rPr>
        <w:t>1</w:t>
      </w:r>
      <w:r>
        <w:rPr>
          <w:rFonts w:ascii="Times New Roman" w:eastAsia="Times New Roman" w:hAnsi="Times New Roman" w:cs="Times New Roman"/>
          <w:sz w:val="18"/>
          <w:szCs w:val="18"/>
          <w:vertAlign w:val="superscript"/>
        </w:rPr>
        <w:t>*</w:t>
      </w:r>
      <w:r>
        <w:rPr>
          <w:rFonts w:ascii="Times New Roman" w:eastAsia="Times New Roman" w:hAnsi="Times New Roman" w:cs="Times New Roman"/>
          <w:sz w:val="18"/>
          <w:szCs w:val="18"/>
        </w:rPr>
        <w:t>, Mothibeli Pita</w:t>
      </w:r>
      <w:r>
        <w:rPr>
          <w:rFonts w:ascii="Times New Roman" w:eastAsia="Times New Roman" w:hAnsi="Times New Roman" w:cs="Times New Roman"/>
          <w:sz w:val="18"/>
          <w:szCs w:val="18"/>
          <w:highlight w:val="white"/>
          <w:vertAlign w:val="superscript"/>
        </w:rPr>
        <w:t>2</w:t>
      </w:r>
    </w:p>
    <w:p w14:paraId="7DB420A3" w14:textId="77777777" w:rsidR="00E85EEA" w:rsidRDefault="00E85EEA">
      <w:pPr>
        <w:tabs>
          <w:tab w:val="left" w:pos="9500"/>
        </w:tabs>
        <w:jc w:val="left"/>
        <w:rPr>
          <w:rFonts w:ascii="Times New Roman" w:eastAsia="Times New Roman" w:hAnsi="Times New Roman" w:cs="Times New Roman"/>
          <w:b/>
          <w:i/>
          <w:sz w:val="18"/>
          <w:szCs w:val="18"/>
        </w:rPr>
      </w:pPr>
    </w:p>
    <w:p w14:paraId="0255101E" w14:textId="5772F8E9" w:rsidR="00E85EEA" w:rsidRPr="00813E7A" w:rsidRDefault="00000000">
      <w:pPr>
        <w:tabs>
          <w:tab w:val="left" w:pos="9500"/>
        </w:tabs>
        <w:jc w:val="left"/>
        <w:rPr>
          <w:rFonts w:ascii="Times New Roman" w:eastAsia="Times New Roman" w:hAnsi="Times New Roman" w:cs="Times New Roman"/>
          <w:iCs/>
          <w:sz w:val="18"/>
          <w:szCs w:val="18"/>
          <w:lang w:val="en-GB"/>
        </w:rPr>
      </w:pPr>
      <w:r>
        <w:rPr>
          <w:rFonts w:ascii="Times New Roman" w:eastAsia="Times New Roman" w:hAnsi="Times New Roman" w:cs="Times New Roman"/>
          <w:sz w:val="18"/>
          <w:szCs w:val="18"/>
          <w:highlight w:val="white"/>
          <w:vertAlign w:val="superscript"/>
        </w:rPr>
        <w:t>1</w:t>
      </w:r>
      <w:r>
        <w:rPr>
          <w:rFonts w:ascii="Times New Roman" w:eastAsia="Times New Roman" w:hAnsi="Times New Roman" w:cs="Times New Roman"/>
          <w:sz w:val="18"/>
          <w:szCs w:val="18"/>
        </w:rPr>
        <w:t xml:space="preserve"> </w:t>
      </w:r>
      <w:r w:rsidR="00813E7A" w:rsidRPr="00813E7A">
        <w:rPr>
          <w:rFonts w:ascii="Times New Roman" w:eastAsia="Times New Roman" w:hAnsi="Times New Roman" w:cs="Times New Roman"/>
          <w:iCs/>
          <w:sz w:val="18"/>
          <w:szCs w:val="18"/>
          <w:lang w:val="en-GB"/>
        </w:rPr>
        <w:t>Department of Mechanical Engineering, Bioresources and Biomedical Engineering, School of Engineering and the Built Environment, University of South Africa, Florida 1710, Private Bag X06, South Africa</w:t>
      </w:r>
      <w:r>
        <w:rPr>
          <w:rFonts w:ascii="Times New Roman" w:eastAsia="Times New Roman" w:hAnsi="Times New Roman" w:cs="Times New Roman"/>
          <w:sz w:val="18"/>
          <w:szCs w:val="18"/>
        </w:rPr>
        <w:t xml:space="preserve">, </w:t>
      </w:r>
      <w:r w:rsidR="00813E7A">
        <w:fldChar w:fldCharType="begin"/>
      </w:r>
      <w:r w:rsidR="00813E7A">
        <w:instrText>HYPERLINK "mailto:ramannj@unisa.ac.za"</w:instrText>
      </w:r>
      <w:r w:rsidR="00813E7A">
        <w:fldChar w:fldCharType="separate"/>
      </w:r>
      <w:r w:rsidR="00813E7A" w:rsidRPr="005227E4">
        <w:rPr>
          <w:rStyle w:val="Hyperlink"/>
        </w:rPr>
        <w:t>ramannj@unisa.ac.za</w:t>
      </w:r>
      <w:r w:rsidR="00813E7A">
        <w:fldChar w:fldCharType="end"/>
      </w:r>
      <w:r w:rsidR="00813E7A">
        <w:t xml:space="preserve">, </w:t>
      </w:r>
      <w:hyperlink r:id="rId9" w:history="1">
        <w:r w:rsidR="00813E7A" w:rsidRPr="005227E4">
          <w:rPr>
            <w:rStyle w:val="Hyperlink"/>
          </w:rPr>
          <w:t>pitam@unisa.ac.za</w:t>
        </w:r>
      </w:hyperlink>
    </w:p>
    <w:p w14:paraId="1142D8D3" w14:textId="77777777" w:rsidR="00E85EEA" w:rsidRDefault="00E85EEA">
      <w:pPr>
        <w:tabs>
          <w:tab w:val="left" w:pos="9500"/>
        </w:tabs>
        <w:jc w:val="left"/>
        <w:rPr>
          <w:rFonts w:ascii="Times New Roman" w:eastAsia="Times New Roman" w:hAnsi="Times New Roman" w:cs="Times New Roman"/>
        </w:rPr>
      </w:pPr>
    </w:p>
    <w:p w14:paraId="4C84DEE2" w14:textId="77777777" w:rsidR="00E85EEA" w:rsidRDefault="00E85EEA">
      <w:pPr>
        <w:tabs>
          <w:tab w:val="left" w:pos="9500"/>
        </w:tabs>
        <w:jc w:val="left"/>
        <w:rPr>
          <w:rFonts w:ascii="Times New Roman" w:eastAsia="Times New Roman" w:hAnsi="Times New Roman" w:cs="Times New Roman"/>
          <w:b/>
          <w:i/>
        </w:rPr>
      </w:pPr>
    </w:p>
    <w:p w14:paraId="206761D7" w14:textId="77777777" w:rsidR="00E85EEA" w:rsidRDefault="00000000">
      <w:pPr>
        <w:tabs>
          <w:tab w:val="left" w:pos="9500"/>
        </w:tabs>
        <w:jc w:val="left"/>
        <w:rPr>
          <w:rFonts w:ascii="Times New Roman" w:eastAsia="Times New Roman" w:hAnsi="Times New Roman" w:cs="Times New Roman"/>
          <w:b/>
        </w:rPr>
      </w:pPr>
      <w:r>
        <w:rPr>
          <w:rFonts w:ascii="Times New Roman" w:eastAsia="Times New Roman" w:hAnsi="Times New Roman" w:cs="Times New Roman"/>
          <w:b/>
        </w:rPr>
        <w:t xml:space="preserve">      ABSTRACT</w:t>
      </w:r>
    </w:p>
    <w:p w14:paraId="39213180" w14:textId="77777777" w:rsidR="00E85EEA" w:rsidRDefault="00E85EEA">
      <w:pPr>
        <w:tabs>
          <w:tab w:val="left" w:pos="9500"/>
        </w:tabs>
        <w:jc w:val="left"/>
        <w:rPr>
          <w:rFonts w:ascii="Times New Roman" w:eastAsia="Times New Roman" w:hAnsi="Times New Roman" w:cs="Times New Roman"/>
          <w:b/>
        </w:rPr>
      </w:pPr>
    </w:p>
    <w:p w14:paraId="36F6C146" w14:textId="69B14CF3" w:rsidR="00305340" w:rsidRPr="00305340" w:rsidRDefault="00000000" w:rsidP="00305340">
      <w:pPr>
        <w:tabs>
          <w:tab w:val="left" w:pos="9500"/>
        </w:tabs>
        <w:rPr>
          <w:rFonts w:ascii="Times New Roman" w:eastAsia="Times New Roman" w:hAnsi="Times New Roman" w:cs="Times New Roman"/>
          <w:b/>
          <w:bCs/>
          <w:sz w:val="18"/>
          <w:szCs w:val="18"/>
          <w:lang w:val="en-ZA"/>
        </w:rPr>
      </w:pPr>
      <w:r>
        <w:rPr>
          <w:rFonts w:ascii="Times New Roman" w:eastAsia="Times New Roman" w:hAnsi="Times New Roman" w:cs="Times New Roman"/>
          <w:b/>
          <w:i/>
        </w:rPr>
        <w:t xml:space="preserve">     </w:t>
      </w:r>
      <w:r>
        <w:rPr>
          <w:rFonts w:ascii="Times New Roman" w:eastAsia="Times New Roman" w:hAnsi="Times New Roman" w:cs="Times New Roman"/>
        </w:rPr>
        <w:t xml:space="preserve"> </w:t>
      </w:r>
      <w:r w:rsidR="00305340" w:rsidRPr="00305340">
        <w:rPr>
          <w:rFonts w:ascii="Times New Roman" w:eastAsia="Times New Roman" w:hAnsi="Times New Roman" w:cs="Times New Roman"/>
          <w:sz w:val="18"/>
          <w:szCs w:val="18"/>
          <w:lang w:val="en-ZA"/>
        </w:rPr>
        <w:t xml:space="preserve">Efficient separation of oil-water emulsions is critical for addressing environmental pollution caused by industrial wastewater. This study investigates the application of quartz material coated with hydrophobic nanoparticles to enhance oil-water separation efficiency. Quartz samples were prepared and </w:t>
      </w:r>
      <w:r w:rsidR="00305340" w:rsidRPr="00305340">
        <w:rPr>
          <w:rFonts w:ascii="Times New Roman" w:eastAsia="Times New Roman" w:hAnsi="Times New Roman" w:cs="Times New Roman"/>
          <w:sz w:val="18"/>
          <w:szCs w:val="18"/>
          <w:lang w:val="en-ZA"/>
        </w:rPr>
        <w:t>analysed</w:t>
      </w:r>
      <w:r w:rsidR="00305340" w:rsidRPr="00305340">
        <w:rPr>
          <w:rFonts w:ascii="Times New Roman" w:eastAsia="Times New Roman" w:hAnsi="Times New Roman" w:cs="Times New Roman"/>
          <w:sz w:val="18"/>
          <w:szCs w:val="18"/>
          <w:lang w:val="en-ZA"/>
        </w:rPr>
        <w:t xml:space="preserve"> under different conditions: raw, washed, and coated with one to four layers of hydrophobic nanoparticles. Surface morphology was evaluated using Scanning Electron Microscopy (SEM), revealing the impact of nanoparticle distribution, surface roughness, and inter-particle separation on wettability. The first coating demonstrated optimal nanoparticle distribution, resulting in superior wettability and oil rejection efficiency, reducing oil and grease concentration to 29.3 mg/L. Successive coatings led to clustering and irregular surface morphology, adversely affecting separation performance. Mathematical models were developed to quantify key parameters, including oil rejection efficiency, nanoparticle uniformity, and separation efficiency. The findings highlight the potential of quartz material with a single hydrophobic nanoparticle coating as a low-cost, efficient solution for oil-water separation, providing insights into optimizing coating processes for environmental applications.</w:t>
      </w:r>
    </w:p>
    <w:p w14:paraId="4974BE69" w14:textId="336165E2" w:rsidR="00E85EEA" w:rsidRDefault="00E85EEA">
      <w:pPr>
        <w:tabs>
          <w:tab w:val="left" w:pos="9500"/>
        </w:tabs>
        <w:rPr>
          <w:rFonts w:ascii="Times New Roman" w:eastAsia="Times New Roman" w:hAnsi="Times New Roman" w:cs="Times New Roman"/>
          <w:sz w:val="18"/>
          <w:szCs w:val="18"/>
        </w:rPr>
      </w:pPr>
    </w:p>
    <w:p w14:paraId="1EB9A3DA" w14:textId="77777777" w:rsidR="00E85EEA" w:rsidRDefault="00E85EEA">
      <w:pPr>
        <w:tabs>
          <w:tab w:val="left" w:pos="9500"/>
        </w:tabs>
        <w:rPr>
          <w:rFonts w:ascii="Times New Roman" w:eastAsia="Times New Roman" w:hAnsi="Times New Roman" w:cs="Times New Roman"/>
          <w:sz w:val="18"/>
          <w:szCs w:val="18"/>
        </w:rPr>
      </w:pPr>
    </w:p>
    <w:p w14:paraId="52CFB6A4" w14:textId="77777777" w:rsidR="00E85EEA" w:rsidRDefault="00E85EEA">
      <w:pPr>
        <w:tabs>
          <w:tab w:val="left" w:pos="9500"/>
        </w:tabs>
        <w:rPr>
          <w:rFonts w:ascii="Times New Roman" w:eastAsia="Times New Roman" w:hAnsi="Times New Roman" w:cs="Times New Roman"/>
          <w:sz w:val="18"/>
          <w:szCs w:val="18"/>
        </w:rPr>
      </w:pPr>
    </w:p>
    <w:p w14:paraId="059E8042" w14:textId="77777777" w:rsidR="00E85EEA" w:rsidRDefault="00E85EEA">
      <w:pPr>
        <w:tabs>
          <w:tab w:val="left" w:pos="9500"/>
        </w:tabs>
        <w:rPr>
          <w:rFonts w:ascii="Times New Roman" w:eastAsia="Times New Roman" w:hAnsi="Times New Roman" w:cs="Times New Roman"/>
          <w:sz w:val="18"/>
          <w:szCs w:val="18"/>
        </w:rPr>
      </w:pPr>
    </w:p>
    <w:p w14:paraId="2CAB0CD0" w14:textId="77777777" w:rsidR="00E85EEA" w:rsidRDefault="00000000">
      <w:pPr>
        <w:tabs>
          <w:tab w:val="left" w:pos="9500"/>
        </w:tabs>
        <w:rPr>
          <w:rFonts w:ascii="Times New Roman" w:eastAsia="Times New Roman" w:hAnsi="Times New Roman" w:cs="Times New Roman"/>
          <w:sz w:val="18"/>
          <w:szCs w:val="18"/>
        </w:rPr>
      </w:pPr>
      <w:r>
        <w:pict w14:anchorId="2CD2385B">
          <v:rect id="_x0000_i1025" style="width:0;height:1.5pt" o:hralign="center" o:hrstd="t" o:hr="t" fillcolor="#a0a0a0" stroked="f"/>
        </w:pict>
      </w:r>
    </w:p>
    <w:p w14:paraId="3917612D" w14:textId="77777777" w:rsidR="00E85EEA" w:rsidRDefault="00E85EEA">
      <w:pPr>
        <w:tabs>
          <w:tab w:val="left" w:pos="9500"/>
        </w:tabs>
        <w:rPr>
          <w:rFonts w:ascii="Times New Roman" w:eastAsia="Times New Roman" w:hAnsi="Times New Roman" w:cs="Times New Roman"/>
          <w:sz w:val="18"/>
          <w:szCs w:val="18"/>
        </w:rPr>
      </w:pPr>
    </w:p>
    <w:p w14:paraId="50F7DE7A" w14:textId="77777777" w:rsidR="00E85EEA" w:rsidRDefault="00000000">
      <w:pPr>
        <w:tabs>
          <w:tab w:val="left" w:pos="9500"/>
        </w:tabs>
        <w:jc w:val="left"/>
        <w:rPr>
          <w:rFonts w:ascii="Arial" w:eastAsia="Arial" w:hAnsi="Arial" w:cs="Arial"/>
          <w:b/>
          <w:i/>
        </w:rPr>
      </w:pPr>
      <w:r>
        <w:rPr>
          <w:rFonts w:ascii="Times New Roman" w:eastAsia="Times New Roman" w:hAnsi="Times New Roman" w:cs="Times New Roman"/>
          <w:b/>
          <w:i/>
        </w:rPr>
        <w:t>keyword</w:t>
      </w:r>
      <w:r>
        <w:rPr>
          <w:rFonts w:ascii="Arial" w:eastAsia="Arial" w:hAnsi="Arial" w:cs="Arial"/>
          <w:b/>
          <w:i/>
        </w:rPr>
        <w:tab/>
      </w:r>
    </w:p>
    <w:tbl>
      <w:tblPr>
        <w:tblStyle w:val="a"/>
        <w:tblW w:w="13385" w:type="dxa"/>
        <w:tblInd w:w="-115" w:type="dxa"/>
        <w:tblBorders>
          <w:bottom w:val="single" w:sz="4" w:space="0" w:color="000000"/>
        </w:tblBorders>
        <w:tblLayout w:type="fixed"/>
        <w:tblLook w:val="0400" w:firstRow="0" w:lastRow="0" w:firstColumn="0" w:lastColumn="0" w:noHBand="0" w:noVBand="1"/>
      </w:tblPr>
      <w:tblGrid>
        <w:gridCol w:w="271"/>
        <w:gridCol w:w="10158"/>
        <w:gridCol w:w="2706"/>
        <w:gridCol w:w="250"/>
      </w:tblGrid>
      <w:tr w:rsidR="00E85EEA" w14:paraId="1918BEAF" w14:textId="77777777">
        <w:trPr>
          <w:trHeight w:val="253"/>
        </w:trPr>
        <w:tc>
          <w:tcPr>
            <w:tcW w:w="13149" w:type="dxa"/>
            <w:gridSpan w:val="3"/>
          </w:tcPr>
          <w:p w14:paraId="501ED413" w14:textId="0460815F" w:rsidR="00E85EEA" w:rsidRDefault="004B4836">
            <w:pPr>
              <w:spacing w:before="240" w:after="240"/>
              <w:jc w:val="left"/>
              <w:rPr>
                <w:rFonts w:ascii="Times New Roman" w:eastAsia="Times New Roman" w:hAnsi="Times New Roman" w:cs="Times New Roman"/>
                <w:b/>
                <w:sz w:val="24"/>
                <w:szCs w:val="24"/>
              </w:rPr>
            </w:pPr>
            <w:r w:rsidRPr="004B4836">
              <w:rPr>
                <w:rFonts w:ascii="Times New Roman" w:eastAsia="Times New Roman" w:hAnsi="Times New Roman" w:cs="Times New Roman"/>
                <w:sz w:val="18"/>
                <w:szCs w:val="18"/>
              </w:rPr>
              <w:t>Oil-water separation, Quartz material, Hydrophobic nanoparticles, Wettability, Surface morphology, Scanning Electron Microscopy (SEM), Oil rejection efficiency, Nanoparticle coating, Environmental pollution, Wastewater treatment.</w:t>
            </w:r>
          </w:p>
        </w:tc>
        <w:tc>
          <w:tcPr>
            <w:tcW w:w="236" w:type="dxa"/>
          </w:tcPr>
          <w:p w14:paraId="49BAAA01" w14:textId="77777777" w:rsidR="00E85EEA" w:rsidRDefault="00E85EEA">
            <w:pPr>
              <w:jc w:val="left"/>
              <w:rPr>
                <w:rFonts w:ascii="Times New Roman" w:eastAsia="Times New Roman" w:hAnsi="Times New Roman" w:cs="Times New Roman"/>
                <w:b/>
                <w:sz w:val="24"/>
                <w:szCs w:val="24"/>
              </w:rPr>
            </w:pPr>
          </w:p>
        </w:tc>
      </w:tr>
      <w:tr w:rsidR="00E85EEA" w14:paraId="113AED17" w14:textId="77777777">
        <w:trPr>
          <w:trHeight w:val="1469"/>
        </w:trPr>
        <w:tc>
          <w:tcPr>
            <w:tcW w:w="13149" w:type="dxa"/>
            <w:gridSpan w:val="3"/>
            <w:vAlign w:val="center"/>
          </w:tcPr>
          <w:p w14:paraId="6557FCA4" w14:textId="77777777" w:rsidR="00E85EEA" w:rsidRDefault="00E85EEA">
            <w:pPr>
              <w:ind w:right="1718"/>
              <w:jc w:val="left"/>
              <w:rPr>
                <w:rFonts w:ascii="Times New Roman" w:eastAsia="Times New Roman" w:hAnsi="Times New Roman" w:cs="Times New Roman"/>
                <w:b/>
              </w:rPr>
            </w:pPr>
          </w:p>
        </w:tc>
        <w:tc>
          <w:tcPr>
            <w:tcW w:w="236" w:type="dxa"/>
          </w:tcPr>
          <w:p w14:paraId="7B83FAD6" w14:textId="77777777" w:rsidR="00E85EEA" w:rsidRDefault="00E85EEA">
            <w:pPr>
              <w:jc w:val="left"/>
              <w:rPr>
                <w:rFonts w:ascii="Times New Roman" w:eastAsia="Times New Roman" w:hAnsi="Times New Roman" w:cs="Times New Roman"/>
              </w:rPr>
            </w:pPr>
          </w:p>
        </w:tc>
      </w:tr>
      <w:tr w:rsidR="00E85EEA" w14:paraId="307A866A" w14:textId="77777777">
        <w:trPr>
          <w:gridAfter w:val="2"/>
          <w:wAfter w:w="2945" w:type="dxa"/>
          <w:trHeight w:val="1284"/>
        </w:trPr>
        <w:tc>
          <w:tcPr>
            <w:tcW w:w="10440" w:type="dxa"/>
            <w:gridSpan w:val="2"/>
          </w:tcPr>
          <w:p w14:paraId="1CA63CE3" w14:textId="77777777" w:rsidR="00E85EEA" w:rsidRDefault="00E85EEA">
            <w:pPr>
              <w:jc w:val="left"/>
              <w:rPr>
                <w:rFonts w:ascii="Times New Roman" w:eastAsia="Times New Roman" w:hAnsi="Times New Roman" w:cs="Times New Roman"/>
                <w:vertAlign w:val="superscript"/>
              </w:rPr>
            </w:pPr>
          </w:p>
        </w:tc>
      </w:tr>
      <w:tr w:rsidR="00E85EEA" w14:paraId="781F6DFF" w14:textId="77777777">
        <w:trPr>
          <w:gridAfter w:val="2"/>
          <w:wAfter w:w="2945" w:type="dxa"/>
          <w:trHeight w:val="152"/>
        </w:trPr>
        <w:tc>
          <w:tcPr>
            <w:tcW w:w="271" w:type="dxa"/>
          </w:tcPr>
          <w:p w14:paraId="678361F4" w14:textId="77777777" w:rsidR="00E85EEA" w:rsidRDefault="00E85EEA">
            <w:pPr>
              <w:jc w:val="left"/>
              <w:rPr>
                <w:rFonts w:ascii="Times New Roman" w:eastAsia="Times New Roman" w:hAnsi="Times New Roman" w:cs="Times New Roman"/>
                <w:b/>
              </w:rPr>
            </w:pPr>
          </w:p>
        </w:tc>
        <w:tc>
          <w:tcPr>
            <w:tcW w:w="10169" w:type="dxa"/>
            <w:vAlign w:val="center"/>
          </w:tcPr>
          <w:p w14:paraId="3651B87D" w14:textId="77777777" w:rsidR="00E85EEA" w:rsidRDefault="00E85EEA">
            <w:pPr>
              <w:jc w:val="left"/>
              <w:rPr>
                <w:rFonts w:ascii="Times New Roman" w:eastAsia="Times New Roman" w:hAnsi="Times New Roman" w:cs="Times New Roman"/>
                <w:b/>
              </w:rPr>
            </w:pPr>
          </w:p>
        </w:tc>
      </w:tr>
      <w:tr w:rsidR="00E85EEA" w14:paraId="68DF7FE0" w14:textId="77777777">
        <w:trPr>
          <w:gridAfter w:val="2"/>
          <w:wAfter w:w="2945" w:type="dxa"/>
          <w:trHeight w:val="152"/>
        </w:trPr>
        <w:tc>
          <w:tcPr>
            <w:tcW w:w="271" w:type="dxa"/>
          </w:tcPr>
          <w:p w14:paraId="68CBC0A0" w14:textId="77777777" w:rsidR="00E85EEA" w:rsidRDefault="00E85EEA">
            <w:pPr>
              <w:jc w:val="left"/>
              <w:rPr>
                <w:rFonts w:ascii="Times New Roman" w:eastAsia="Times New Roman" w:hAnsi="Times New Roman" w:cs="Times New Roman"/>
                <w:b/>
              </w:rPr>
            </w:pPr>
          </w:p>
        </w:tc>
        <w:tc>
          <w:tcPr>
            <w:tcW w:w="10169" w:type="dxa"/>
            <w:vAlign w:val="center"/>
          </w:tcPr>
          <w:p w14:paraId="6BA9B707" w14:textId="77777777" w:rsidR="00E85EEA" w:rsidRDefault="00E85EEA">
            <w:pPr>
              <w:jc w:val="left"/>
              <w:rPr>
                <w:rFonts w:ascii="Times New Roman" w:eastAsia="Times New Roman" w:hAnsi="Times New Roman" w:cs="Times New Roman"/>
                <w:b/>
              </w:rPr>
            </w:pPr>
          </w:p>
        </w:tc>
      </w:tr>
      <w:tr w:rsidR="00E85EEA" w14:paraId="5D4508D2" w14:textId="77777777">
        <w:trPr>
          <w:gridAfter w:val="2"/>
          <w:wAfter w:w="2945" w:type="dxa"/>
          <w:trHeight w:val="441"/>
        </w:trPr>
        <w:tc>
          <w:tcPr>
            <w:tcW w:w="271" w:type="dxa"/>
          </w:tcPr>
          <w:p w14:paraId="6139A9C9" w14:textId="77777777" w:rsidR="00E85EEA" w:rsidRDefault="00E85EEA">
            <w:pPr>
              <w:rPr>
                <w:rFonts w:ascii="Times New Roman" w:eastAsia="Times New Roman" w:hAnsi="Times New Roman" w:cs="Times New Roman"/>
                <w:sz w:val="18"/>
                <w:szCs w:val="18"/>
              </w:rPr>
            </w:pPr>
          </w:p>
        </w:tc>
        <w:tc>
          <w:tcPr>
            <w:tcW w:w="10169" w:type="dxa"/>
            <w:vMerge w:val="restart"/>
          </w:tcPr>
          <w:p w14:paraId="7C33760F" w14:textId="77777777" w:rsidR="00E85EEA" w:rsidRDefault="00E85EEA">
            <w:pPr>
              <w:tabs>
                <w:tab w:val="left" w:pos="9500"/>
              </w:tabs>
              <w:rPr>
                <w:rFonts w:ascii="Times New Roman" w:eastAsia="Times New Roman" w:hAnsi="Times New Roman" w:cs="Times New Roman"/>
                <w:sz w:val="18"/>
                <w:szCs w:val="18"/>
              </w:rPr>
            </w:pPr>
          </w:p>
        </w:tc>
      </w:tr>
      <w:tr w:rsidR="00E85EEA" w14:paraId="45BD9962" w14:textId="77777777">
        <w:trPr>
          <w:gridAfter w:val="2"/>
          <w:wAfter w:w="2945" w:type="dxa"/>
        </w:trPr>
        <w:tc>
          <w:tcPr>
            <w:tcW w:w="271" w:type="dxa"/>
          </w:tcPr>
          <w:p w14:paraId="3C70455E" w14:textId="77777777" w:rsidR="00E85EEA" w:rsidRDefault="00E85EEA">
            <w:pPr>
              <w:jc w:val="left"/>
              <w:rPr>
                <w:rFonts w:ascii="Times New Roman" w:eastAsia="Times New Roman" w:hAnsi="Times New Roman" w:cs="Times New Roman"/>
              </w:rPr>
            </w:pPr>
          </w:p>
        </w:tc>
        <w:tc>
          <w:tcPr>
            <w:tcW w:w="10169" w:type="dxa"/>
            <w:vMerge/>
          </w:tcPr>
          <w:p w14:paraId="3A220243" w14:textId="77777777" w:rsidR="00E85EEA" w:rsidRDefault="00E85EEA">
            <w:pPr>
              <w:widowControl w:val="0"/>
              <w:pBdr>
                <w:top w:val="nil"/>
                <w:left w:val="nil"/>
                <w:bottom w:val="nil"/>
                <w:right w:val="nil"/>
                <w:between w:val="nil"/>
              </w:pBdr>
              <w:spacing w:line="276" w:lineRule="auto"/>
              <w:jc w:val="left"/>
              <w:rPr>
                <w:rFonts w:ascii="Arial" w:eastAsia="Arial" w:hAnsi="Arial" w:cs="Arial"/>
                <w:b/>
                <w:i/>
              </w:rPr>
            </w:pPr>
          </w:p>
        </w:tc>
      </w:tr>
    </w:tbl>
    <w:p w14:paraId="15B224AA" w14:textId="77777777" w:rsidR="00E85EEA" w:rsidRDefault="00000000">
      <w:pPr>
        <w:pStyle w:val="Heading1"/>
        <w:numPr>
          <w:ilvl w:val="0"/>
          <w:numId w:val="1"/>
        </w:numPr>
        <w:spacing w:before="0" w:after="0"/>
        <w:sectPr w:rsidR="00E85EEA">
          <w:footerReference w:type="default" r:id="rId10"/>
          <w:pgSz w:w="11879" w:h="16817"/>
          <w:pgMar w:top="630" w:right="719" w:bottom="1138" w:left="720" w:header="737" w:footer="737" w:gutter="0"/>
          <w:pgNumType w:start="1"/>
          <w:cols w:space="720"/>
          <w:titlePg/>
        </w:sectPr>
      </w:pPr>
      <w:bookmarkStart w:id="0" w:name="_Hlk187108853"/>
      <w:r>
        <w:t xml:space="preserve">Introduction </w:t>
      </w:r>
    </w:p>
    <w:p w14:paraId="6E353BFC" w14:textId="77777777" w:rsidR="00E85EEA" w:rsidRDefault="00E85EEA">
      <w:pPr>
        <w:pStyle w:val="Heading1"/>
        <w:spacing w:before="0" w:after="0"/>
      </w:pPr>
      <w:bookmarkStart w:id="1" w:name="_heading=h.fpu7f0jwz6g9" w:colFirst="0" w:colLast="0"/>
      <w:bookmarkEnd w:id="0"/>
      <w:bookmarkEnd w:id="1"/>
    </w:p>
    <w:p w14:paraId="0B4B3586" w14:textId="77777777" w:rsidR="00E85EEA" w:rsidRDefault="00E85EEA"/>
    <w:p w14:paraId="3436D8EC" w14:textId="77777777" w:rsidR="000A68A0" w:rsidRDefault="000A68A0" w:rsidP="000A68A0">
      <w:pPr>
        <w:ind w:firstLine="202"/>
      </w:pPr>
      <w:r w:rsidRPr="000A68A0">
        <w:t>Oily wastewater is a significant byproduct of various industrial processes, including oil and gas exploration, petrochemicals, textiles, food production, and metalworking industries</w:t>
      </w:r>
      <w:r>
        <w:t xml:space="preserve"> </w:t>
      </w:r>
      <w:r w:rsidR="003E33E4">
        <w:fldChar w:fldCharType="begin" w:fldLock="1"/>
      </w:r>
      <w:r w:rsidR="003E33E4">
        <w:instrText>ADDIN CSL_CITATION {"citationItems":[{"id":"ITEM-1","itemData":{"DOI":"10.1016/j.jece.2020.104641","ISSN":"22133437","abstract":"The treatment of oil or surfactant-containing wastewater emitted from diverse sources is imperative to meet the ever-growing requirement of clean and drinking water. Membrane Distillation (MD) has been considered as one of the propitious technologies for the treatment of highly saline wastewater. In addition to saline water, lately, it has been also used for the purification of the oil-containing feed stream. In this paper, we begin with an overview of different sources of oily wastewater and techniques used for the treatment of oil-containing feed streams along with the discussion of their merits and demerits. Further, we provide a deep insight into the MD process with its configurations, the perceptive of different researchers during the MD investigation for treating various types of oil-in-water emulsions, and the development of the amphiphobic, omniphobic, or Janus membrane particularly suitable for the low-surface tension liquids. Also, the MD operating variables and their influence pattern on MD flux have been briefly discussed. The paper highlights that the integrated or hybrid MD systems can effectively reduce the membrane fouling or pore wetting by removing the foulant up to a great extent using ultrafiltration, coagulation/flocculation, microfiltration, forward osmosis, etc. as the pre-treatment steps.","author":[{"dropping-particle":"","family":"Kalla","given":"Sarita","non-dropping-particle":"","parse-names":false,"suffix":""}],"container-title":"Journal of Environmental Chemical Engineering","id":"ITEM-1","issue":"1","issued":{"date-parts":[["2021"]]},"page":"104641","publisher":"Elsevier Ltd","title":"Use of membrane distillation for oily wastewater treatment - A review","type":"article-journal","volume":"9"},"uris":["http://www.mendeley.com/documents/?uuid=8a5c4666-08b0-4402-8552-4897e8816e59"]},{"id":"ITEM-2","itemData":{"DOI":"10.1016/j.jenvman.2024.120178","ISSN":"10958630","PMID":"38310795","abstract":"The treatment of oily wastewater has become a serious environmental challenge, for which graphene oxide has emerged as a promising material in solving the problem. The ever-growing utilization of graphene oxide (GO) in the treatment of oily wastewater necessitates a constant review. This review article employs a comprehensive literature survey methodology, systematically examining peer-reviewed articles, focusing on, but not entirely limited to, the last five years. Major databases such as EBSCOhost, Scopus, ScienceDirect, Web of Science and Google Scholar were searched using specific keywords related to GO and oily wastewater treatment. The inclusion criteria focused on studies that specifically address the application, efficiency, and mechanisms of GO in treating oily wastewater. The data extracted from these sources were then synthesized to highlight the most important developments, challenges, and prospects in this field. As far as oily wastewater treatment is concerned, the majority of the studies revolve around the use of GO in mitigating fouling in membrane processes, improving the stability, capacity and reusability of sorbents, and enhancing photodegradation by minimizing charge recombination.","author":[{"dropping-particle":"","family":"Avornyo","given":"Amos","non-dropping-particle":"","parse-names":false,"suffix":""},{"dropping-particle":"V.","family":"Chrysikopoulos","given":"Constantinos","non-dropping-particle":"","parse-names":false,"suffix":""}],"container-title":"Journal of Environmental Management","id":"ITEM-2","issue":"February","issued":{"date-parts":[["2024"]]},"page":"120178","publisher":"Elsevier Ltd","title":"Applications of graphene oxide (GO) in oily wastewater treatment: Recent developments, challenges, and opportunities","type":"article-journal","volume":"353"},"uris":["http://www.mendeley.com/documents/?uuid=07a186e5-e495-4653-b013-762659896a8d"]}],"mendeley":{"formattedCitation":"[1,2]","plainTextFormattedCitation":"[1,2]","previouslyFormattedCitation":"[1,2]"},"properties":{"noteIndex":0},"schema":"https://github.com/citation-style-language/schema/raw/master/csl-citation.json"}</w:instrText>
      </w:r>
      <w:r w:rsidR="003E33E4">
        <w:fldChar w:fldCharType="separate"/>
      </w:r>
      <w:r w:rsidR="003E33E4" w:rsidRPr="003E33E4">
        <w:rPr>
          <w:noProof/>
        </w:rPr>
        <w:t>[1,2]</w:t>
      </w:r>
      <w:r w:rsidR="003E33E4">
        <w:fldChar w:fldCharType="end"/>
      </w:r>
      <w:r w:rsidR="003E33E4">
        <w:t xml:space="preserve">. </w:t>
      </w:r>
      <w:r w:rsidRPr="000A68A0">
        <w:t>When inadequately treated, industrial waste, including oily wastewater, poses serious risks to human health, the environment, and ecosystems. This issue has garnered global attention, prompting the enforcement of regulations for waste treatment, reuse, and discharge limits, particularly concerning oily wastewater</w:t>
      </w:r>
      <w:r>
        <w:t xml:space="preserve"> </w:t>
      </w:r>
      <w:r w:rsidR="003E33E4">
        <w:fldChar w:fldCharType="begin" w:fldLock="1"/>
      </w:r>
      <w:r w:rsidR="003E33E4">
        <w:instrText>ADDIN CSL_CITATION {"citationItems":[{"id":"ITEM-1","itemData":{"DOI":"10.1016/j.asej.2020.08.027","ISSN":"20904479","abstract":"Our world is facing continued challenges of environmental and ecological pollutions due to human and industrial activities. One of the major threats is oily wastewater mainly discharged from oil fields, refineries, automobile, palm oil industries, and many others. Membrane-based technology offers an almost complete separation of oil from water. However, the technology is facing the challenge of maintaining performance over long periods of operation caused by membrane fouling as a result of interaction between oil droplets and the membrane surface. This attracts research interest mainly on developing customized polymeric, ceramic well as a metallic-based membrane material for improved performance. This paper reviews the recent advances of membrane material developments with the focus on methods of improving the surface chemistry, structure, and hydrodynamics and their implication on the filtration performances.","author":[{"dropping-particle":"","family":"Barambu","given":"Nafiu Umar","non-dropping-particle":"","parse-names":false,"suffix":""},{"dropping-particle":"","family":"Bilad","given":"Muhammad Roil","non-dropping-particle":"","parse-names":false,"suffix":""},{"dropping-particle":"","family":"Bustam","given":"Mohamad Azmi","non-dropping-particle":"","parse-names":false,"suffix":""},{"dropping-particle":"","family":"Kurnia","given":"Kiki Adi","non-dropping-particle":"","parse-names":false,"suffix":""},{"dropping-particle":"","family":"Othman","given":"Mohd Hafiz Dzarfan","non-dropping-particle":"","parse-names":false,"suffix":""},{"dropping-particle":"","family":"Nordin","given":"Nik Abdul Hadi Md","non-dropping-particle":"","parse-names":false,"suffix":""}],"container-title":"Ain Shams Engineering Journal","id":"ITEM-1","issue":"2","issued":{"date-parts":[["2021"]]},"page":"1361-1374","title":"Development of membrane material for oily wastewater treatment: A review","type":"article-journal","volume":"12"},"uris":["http://www.mendeley.com/documents/?uuid=0f637919-3573-4c02-939a-2f6436fc731c"]}],"mendeley":{"formattedCitation":"[3]","plainTextFormattedCitation":"[3]","previouslyFormattedCitation":"[3]"},"properties":{"noteIndex":0},"schema":"https://github.com/citation-style-language/schema/raw/master/csl-citation.json"}</w:instrText>
      </w:r>
      <w:r w:rsidR="003E33E4">
        <w:fldChar w:fldCharType="separate"/>
      </w:r>
      <w:r w:rsidR="003E33E4" w:rsidRPr="003E33E4">
        <w:rPr>
          <w:noProof/>
        </w:rPr>
        <w:t>[3]</w:t>
      </w:r>
      <w:r w:rsidR="003E33E4">
        <w:fldChar w:fldCharType="end"/>
      </w:r>
      <w:r w:rsidR="003E33E4">
        <w:t>.</w:t>
      </w:r>
      <w:r w:rsidR="003E33E4" w:rsidRPr="003E33E4">
        <w:t xml:space="preserve"> </w:t>
      </w:r>
      <w:r w:rsidRPr="000A68A0">
        <w:t>In this context, membrane filtration has emerged as a promising, energy-efficient, and environmentally friendly solution due to its ease of use, high removal efficiency, and minimal secondary pollution</w:t>
      </w:r>
      <w:r>
        <w:t xml:space="preserve"> </w:t>
      </w:r>
      <w:r w:rsidR="003E33E4">
        <w:fldChar w:fldCharType="begin" w:fldLock="1"/>
      </w:r>
      <w:r w:rsidR="00943E30">
        <w:instrText>ADDIN CSL_CITATION {"citationItems":[{"id":"ITEM-1","itemData":{"DOI":"10.1016/j.seppur.2023.125486","ISSN":"18733794","abstract":"Purification of the complex wastewater mandates the fabrication of multi-functional membranes that can separate oil from emulsions and remove dangerous organic contaminants. Herein, we developed a new PVDF/Ti3C2/WO3·H2O fibrous membrane through the hydrothermal growth of WO3·H2O micro-flowers onto the porous PVDF/Ti3C2 electrospun mats. WO3·H2O micro-flowers showed similar growth spanning Ti3C2 MXene sheets having good interfacial contact, which regulated the wettability and enhanced the charge separation needed for boosting photo-reactivity. The fibrous PVDF/Ti3C2/WO3·H2O membrane displayed minimal oil adhesion, superhydrophilicity, and sustained underwater superoleophobic characteristics with outstanding separation effectiveness (</w:instrText>
      </w:r>
      <w:r w:rsidR="00943E30">
        <w:rPr>
          <w:rFonts w:ascii="Cambria Math" w:hAnsi="Cambria Math" w:cs="Cambria Math"/>
        </w:rPr>
        <w:instrText>∼</w:instrText>
      </w:r>
      <w:r w:rsidR="00943E30">
        <w:instrText>99 %) and reusable nature. Notably, membrane had the ability to successfully separate a wide variety of oil/water emulsions with a permeation flux of 1431–1542 L.m- 2.h- 1. The composite membrane is 39 times more efficient than PVDF/Ti3C2 electrospun membrane with regard to RhB degradation (</w:instrText>
      </w:r>
      <w:r w:rsidR="00943E30">
        <w:rPr>
          <w:rFonts w:ascii="Cambria Math" w:hAnsi="Cambria Math" w:cs="Cambria Math"/>
        </w:rPr>
        <w:instrText>∼</w:instrText>
      </w:r>
      <w:r w:rsidR="00943E30">
        <w:instrText>91 %) and has good recyclability and refreshing behaviour under LED light irradiation. Such bi-functional materials with outstanding oil/water emulsion separation and photocatalytic degradation properties pave the way for treating complex oily wastewater. The present study presents a scalable method for fabricating metal-oxide-based multi-functional membranes utilising 2D MXene.","author":[{"dropping-particle":"","family":"Sahu","given":"Shivshankar","non-dropping-particle":"","parse-names":false,"suffix":""},{"dropping-particle":"","family":"Dhar Purkayastha","given":"Debarun","non-dropping-particle":"","parse-names":false,"suffix":""}],"container-title":"Separation and Purification Technology","id":"ITEM-1","issue":"PC","issued":{"date-parts":[["2024"]]},"page":"125486","publisher":"Elsevier B.V.","title":"WO3·H2O micro-flowers decorated PVDF/Ti3C2 MXene membrane for oily wastewater treatment","type":"article-journal","volume":"330"},"uris":["http://www.mendeley.com/documents/?uuid=4e1d9195-c47f-4ecc-a61b-c5d30b29929b"]}],"mendeley":{"formattedCitation":"[4]","plainTextFormattedCitation":"[4]","previouslyFormattedCitation":"[4]"},"properties":{"noteIndex":0},"schema":"https://github.com/citation-style-language/schema/raw/master/csl-citation.json"}</w:instrText>
      </w:r>
      <w:r w:rsidR="003E33E4">
        <w:fldChar w:fldCharType="separate"/>
      </w:r>
      <w:r w:rsidR="003E33E4" w:rsidRPr="003E33E4">
        <w:rPr>
          <w:noProof/>
        </w:rPr>
        <w:t>[4]</w:t>
      </w:r>
      <w:r w:rsidR="003E33E4">
        <w:fldChar w:fldCharType="end"/>
      </w:r>
      <w:r w:rsidR="003E33E4">
        <w:t xml:space="preserve">. </w:t>
      </w:r>
      <w:r w:rsidRPr="000A68A0">
        <w:t xml:space="preserve">Recent research has increasingly focused on materials with optimal wettability for treating oily wastewater. However, traditional commercial ceramic membranes are costly due to </w:t>
      </w:r>
      <w:r w:rsidRPr="000A68A0">
        <w:t>expensive raw materials and high sintering temperatures, making polymer membranes more economical for conventional wastewater treatment</w:t>
      </w:r>
      <w:r>
        <w:t xml:space="preserve"> </w:t>
      </w:r>
      <w:r w:rsidR="00943E30">
        <w:fldChar w:fldCharType="begin" w:fldLock="1"/>
      </w:r>
      <w:r w:rsidR="00943E30">
        <w:instrText>ADDIN CSL_CITATION {"citationItems":[{"id":"ITEM-1","itemData":{"DOI":"10.1016/j.seppur.2022.122244","ISSN":"18733794","abstract":"Oil/water emulsion separation via the membrane technology attracts increasing attention because of the severe fresh water shortage. In this work, low-cost, hierarchically oriented bauxite membranes with straight pores have been successfully prepared by the combined phase inversion tape casting and screen-printing technique for low-cost, efficient oil-in-water emulsion separation. An oil-in-water emulsion with an average oil diameter around 1.90 μm is effectively separated. The initial permeation flux in the penetrants is measured to be 4.31 × 103 and 10.35 × 103 L/h m−2 when feeding with the petroleum ether-in-water emulsion and n-hexane-in-water emulsion, respectively, and the corresponding rejection rate can reach up to nearly 100 %, demonstrating good oil-in-water emulsion separation performance via the bauxite membrane, which can be explained by the excellent hydrophilicity and good oleophobicity as well as the high pure water flux. In addition, the membrane fouling generated during the oil-in-water emulsion separation can be mostly recovered by sequentially backwashing with water and ethanol. In the end, the degradation and regeneration mechanism of the oil-in-water emulsion separation is proposed according to the evolution of wetting properties of the membrane during the degradation-regeneration cycle. These results indicate the hierarchically oriented bauxite membrane with straight pores is a promising low-cost membrane alternative candidate for efficient oil-in-water emulsion membrane separation.","author":[{"dropping-particle":"","family":"Wang","given":"Jietao","non-dropping-particle":"","parse-names":false,"suffix":""},{"dropping-particle":"","family":"Liu","given":"Tong","non-dropping-particle":"","parse-names":false,"suffix":""},{"dropping-particle":"","family":"Lu","given":"Chunlei","non-dropping-particle":"","parse-names":false,"suffix":""},{"dropping-particle":"","family":"Gong","given":"Chengjie","non-dropping-particle":"","parse-names":false,"suffix":""},{"dropping-particle":"","family":"Miao","given":"Mengyu","non-dropping-particle":"","parse-names":false,"suffix":""},{"dropping-particle":"","family":"Wei","given":"Zhaoling","non-dropping-particle":"","parse-names":false,"suffix":""},{"dropping-particle":"","family":"Wang","given":"Yao","non-dropping-particle":"","parse-names":false,"suffix":""}],"container-title":"Separation and Purification Technology","id":"ITEM-1","issue":"July","issued":{"date-parts":[["2022"]]},"page":"122244","publisher":"Elsevier B.V.","title":"Efficient oil-in-water emulsion separation in the low-cost bauxite ceramic membranes with hierarchically oriented straight pores","type":"article-journal","volume":"303"},"uris":["http://www.mendeley.com/documents/?uuid=e726e2ec-36c5-479c-a059-692b036bb8d2"]}],"mendeley":{"formattedCitation":"[5]","plainTextFormattedCitation":"[5]","previouslyFormattedCitation":"[5]"},"properties":{"noteIndex":0},"schema":"https://github.com/citation-style-language/schema/raw/master/csl-citation.json"}</w:instrText>
      </w:r>
      <w:r w:rsidR="00943E30">
        <w:fldChar w:fldCharType="separate"/>
      </w:r>
      <w:r w:rsidR="00943E30" w:rsidRPr="00943E30">
        <w:rPr>
          <w:noProof/>
        </w:rPr>
        <w:t>[5]</w:t>
      </w:r>
      <w:r w:rsidR="00943E30">
        <w:fldChar w:fldCharType="end"/>
      </w:r>
      <w:r w:rsidR="00943E30">
        <w:t xml:space="preserve">. </w:t>
      </w:r>
      <w:r w:rsidRPr="000A68A0">
        <w:t>Consequently, developing low-cost ceramic membranes or supports using inexpensive minerals such as bauxite, quartz, kaolin, coal gangue, or clay-sand has become a critical area of research in the field of ceramic membranes</w:t>
      </w:r>
      <w:r w:rsidR="00943E30">
        <w:t xml:space="preserve"> </w:t>
      </w:r>
      <w:r w:rsidR="00943E30">
        <w:fldChar w:fldCharType="begin" w:fldLock="1"/>
      </w:r>
      <w:r w:rsidR="00943E30">
        <w:instrText xml:space="preserve">ADDIN CSL_CITATION {"citationItems":[{"id":"ITEM-1","itemData":{"DOI":"10.1016/j.memsci.2023.122311","ISSN":"18733123","abstract":"Silicon carbide (SiC) ceramic membranes with high water permeance and good antifouling properties are promising for efficient oil-water separation. However, the high production cost of SiC membranes, in particular contributed by their high sintering temperatures, restricts the commercialization and full-scale applications of the membranes. In this work, a new coupling method of low-temperature co-sintering and spraying was proposed to prepare asymmetric water glass (WG)-bonded SiC microfiltration membranes for oil-water separation and reduce the cost of production. For this purpose, alkaline WG was used as the sintering aid to lower the sintering temperature to 600 °C and as the pH regulator to optimize the dispersion of the SiC powder. A facile optimization of the ultra-low temperature co-sintering program facilitated the formation of a crack-free multilayer of the membranes, by preventing thermal stress imbalance between the membrane layer and the support layer. The mean pore size of the co-sintered ceramic membrane was 0.25 μm, corresponding to high pure water permeance of above 2400 L· m−2·h−1·bar−1. In comparison with other reported ceramic membranes, the as-prepared co-sintered membranes exhibited higher stable-permeance (234.8 ± 9.4 L·m−2·h−1·bar−1) and a higher oil rejection (98.9 ± 0.2%) even under a lower transmembrane pressure (0.2 bar), which were attributed to the superhydrophilicity and underwater superoleophobicity of the membranes, during filtration with oil-in-water emulsions (500 mg· L−1). The low-temperature co-sintering method, aided by WG-based bonding, provides technical support for designing high performance ceramic membranes at reduced cost of production, which may promote their practical applications in wastewater treatment.","author":[{"dropping-particle":"","family":"Jiang","given":"Qian","non-dropping-particle":"","parse-names":false,"suffix":""},{"dropping-particle":"","family":"Lin","given":"Bin","non-dropping-particle":"","parse-names":false,"suffix":""},{"dropping-particle":"","family":"Zhong","given":"Zhaoxiang","non-dropping-particle":"","parse-names":false,"suffix":""},{"dropping-particle":"","family":"Fan","given":"Yiqun","non-dropping-particle":"","parse-names":false,"suffix":""},{"dropping-particle":"","family":"Xing","given":"Weihong","non-dropping-particle":"","parse-names":false,"suffix":""}],"container-title":"Journal of Membrane Science","id":"ITEM-1","issue":"October 2023","issued":{"date-parts":[["2024"]]},"page":"122311","publisher":"Elsevier B.V.","title":"Ultra-low temperature co-sintering of water glass (WG)-bonded silicon carbide ceramic membranes for oil-water separation","type":"article-journal","volume":"692"},"uris":["http://www.mendeley.com/documents/?uuid=0e3ec14a-e56e-4b49-adc1-9ac866844e6c"]},{"id":"ITEM-2","itemData":{"DOI":"10.1016/j.memsci.2019.03.058","ISSN":"18733123","abstract":"A facile method namely combined hot rolling embossing with thermally induced phase separation </w:instrText>
      </w:r>
      <w:r w:rsidR="00943E30">
        <w:rPr>
          <w:rFonts w:ascii="MS Mincho" w:eastAsia="MS Mincho" w:hAnsi="MS Mincho" w:cs="MS Mincho" w:hint="eastAsia"/>
        </w:rPr>
        <w:instrText>（</w:instrText>
      </w:r>
      <w:r w:rsidR="00943E30">
        <w:instrText>TIPS</w:instrText>
      </w:r>
      <w:r w:rsidR="00943E30">
        <w:rPr>
          <w:rFonts w:ascii="MS Mincho" w:eastAsia="MS Mincho" w:hAnsi="MS Mincho" w:cs="MS Mincho" w:hint="eastAsia"/>
        </w:rPr>
        <w:instrText>）</w:instrText>
      </w:r>
      <w:r w:rsidR="00943E30">
        <w:instrText xml:space="preserve"> for the preparation of superhydrophobic-superoleophilic isotactic polypropylene (iPP) microporous membranes with bioinspired hierarchical structure on its surface was developed. Influences of the pre-evaporation time of liquid membranes, the micro-structure on rollers, the temperature of rollers, and the temperature of cooling bath on morphology, as well as wettability, permeability, pore size distribution, and tensile property of the membranes were evaluated. The water contact angle, the sliding angle and the time for the oil droplet to spread on the surface of the iPP membrane prepared under the optimal conditions were 154° 3.6° and less than 0.3 s respectively. The prepared iPP membrane could be used to separate water-in-oil emulsions stabilized by surfactant, with an oil flux up to 1108 L m−2 h−1 at 0.09 MPa. In terms of separation efficiency the water content in the permeated oil was as low as 46 ppm. Moreover the prepared iPP membrane exhibited good stability and excellent recyclability (20 uses). Thus we envision that such a facile method will become a candidate to continuously prepare superhydrophobic-superoelophilic polymer (iPP, PVDF etc) microporous membranes on a large scale and low cost.","author":[{"dropping-particle":"","family":"Sun","given":"Yue","non-dropping-particle":"","parse-names":false,"suffix":""},{"dropping-particle":"","family":"Yang","given":"Zhensheng","non-dropping-particle":"","parse-names":false,"suffix":""},{"dropping-particle":"","family":"Li","given":"Liang","non-dropping-particle":"","parse-names":false,"suffix":""},{"dropping-particle":"","family":"Wang","given":"Zhiying","non-dropping-particle":"","parse-names":false,"suffix":""},{"dropping-particle":"","family":"Sun","given":"Qichao","non-dropping-particle":"","parse-names":false,"suffix":""}],"container-title":"Journal of Membrane Science","id":"ITEM-2","issue":"March","issued":{"date-parts":[["2019"]]},"page":"224-235","publisher":"Elsevier B.V.","title":"Facile preparation of isotactic polypropylene microporous membranes with bioinspired hierarchical morphology for nano-scale water-in-oil emulsion separation","type":"article-journal","volume":"581"},"uris":["http://www.mendeley.com/documents/?uuid=cbca14f0-5a83-4857-b16d-e5d9cc39ee68"]},{"id":"ITEM-3","itemData":{"DOI":"10.1016/j.seppur.2023.125352","ISSN":"18733794","abstract":"Special wettability membranes represent one of the smart, advanced, and energy-efficient solutions for the separation of contaminated oily wastewater as well as the treatment of crude oil spills. To increase sustainability and facilitate the large-scale applications of the superwetting membranes, novel renewable materials combined with rapid fabrication approaches should be explored. This study describes a simple and rapid strategy for fabricating superhydrophobic cotton textile (SCT) membranes via a solution immersion strategy from a few renewable and low-cost materials. The versatile fabrication approach was extended to fabricate other types of porous 2D/3D superhydrophobic substrates including metal mesh and melamine sponge. The fabricated SCT was employed for the gravity-driven continuous separation of immiscible oil/water mixtures with a high flux of 62500 ± 650 L. m−2. h−1 and high separation efficiency of &gt; 99%. The SCT was employed for the demulsification of oil-in-water and water-in-oil emulsions as well as for the cleanup of crude oil spills. The fabricated SCT membranes exhibited high chemical and mechanical durability as well as excellent recyclability. Thus, the presented fabrication strategy offers a versatile, practical, and sustainable pathway toward the rapid construction of superhydrophobic porous membranes for efficient and diverse oil/water separations for the treatment of stratified and emulsified oily wastewater effluents and crude oil spills.","author":[{"dropping-particle":"","family":"Abu-Thabit","given":"Nedal Y.","non-dropping-particle":"","parse-names":false,"suffix":""},{"dropping-particle":"","family":"Kalam Azad","given":"Abdul","non-dropping-particle":"","parse-names":false,"suffix":""},{"dropping-particle":"","family":"Mezghani","given":"Khaled","non-dropping-particle":"","parse-names":false,"suffix":""},{"dropping-particle":"","family":"Akhtar","given":"Sultan","non-dropping-particle":"","parse-names":false,"suffix":""},{"dropping-particle":"","family":"Saeed Hakeem","given":"Abbas","non-dropping-particle":"","parse-names":false,"suffix":""},{"dropping-particle":"","family":"Drmosh","given":"Qasem A.","non-dropping-particle":"","parse-names":false,"suffix":""},{"dropping-particle":"","family":"Yusuf Adesina","given":"Akeem","non-dropping-particle":"","parse-names":false,"suffix":""}],"container-title":"Separation and Purification Technology","id":"ITEM-3","issue":"PB","issued":{"date-parts":[["2024"]]},"page":"125352","publisher":"Elsevier B.V.","title":"Rapid, Sustainable, and Versatile Strategy Towards Fabricating Superhydrophobic Cotton Textile Membranes for Separation of Emulsified and Stratified Oil/Water Mixtures","type":"article-journal","volume":"330"},"uris":["http://www.mendeley.com/documents/?uuid=ea455bae-d451-4f30-8001-17fd69ca8ca9"]}],"mendeley":{"formattedCitation":"[6–8]","plainTextFormattedCitation":"[6–8]","previouslyFormattedCitation":"[6–8]"},"properties":{"noteIndex":0},"schema":"https://github.com/citation-style-language/schema/raw/master/csl-citation.json"}</w:instrText>
      </w:r>
      <w:r w:rsidR="00943E30">
        <w:fldChar w:fldCharType="separate"/>
      </w:r>
      <w:r w:rsidR="00943E30" w:rsidRPr="00943E30">
        <w:rPr>
          <w:noProof/>
        </w:rPr>
        <w:t>[6–8]</w:t>
      </w:r>
      <w:r w:rsidR="00943E30">
        <w:fldChar w:fldCharType="end"/>
      </w:r>
      <w:r w:rsidR="00943E30">
        <w:t xml:space="preserve">. Amongst other low cost inexpensive mineral materials used for oily wastewater separation, quartz was reported as the promising material for membrane filtration processess </w:t>
      </w:r>
      <w:r w:rsidR="00943E30">
        <w:fldChar w:fldCharType="begin" w:fldLock="1"/>
      </w:r>
      <w:r w:rsidR="00C27BB9">
        <w:instrText>ADDIN CSL_CITATION {"citationItems":[{"id":"ITEM-1","itemData":{"DOI":"10.1016/j.jwpe.2023.104310","ISSN":"22147144","abstract":"Purification of oily wastewater holds significant importance due to its detrimental environmental and human health implications. Mixed matrix membranes (MMMs) have gained substantial traction as an efficacious approach for treating oily wastewater, surpassing conventional techniques in terms of performance. To improve the properties of polymeric membranes, scientists have blended them with other polymers or nanomaterials and used various techniques such as phase inversion and electrospinning to prepare MMMs. This review focuses on recent advances in hydrophilic, hydrophobic, and Janus MMMs for oily wastewater treatment. While hydrophilic membranes have exhibited commendable oil rejection capabilities, their susceptibility to fouling remains an issue. Hydrophobic membranes exhibit high fouling resistance but low oil rejection performance. Nonetheless, they demonstrate an excellent ability to separate water-in-oil emulsions. Janus MMMs, which have both hydrophilic and hydrophobic properties, have shown promising results for oily wastewater treatment due to their high oil rejection and fouling resistance. Membrane fouling and recyclability are still the main challenges facing MMMs. To address these challenges, researchers are investigating the use of sustainable and biodegradable polymers in MMMs, which could lead to more environmentally friendly and cost-effective solutions for oily wastewater treatment.","author":[{"dropping-particle":"","family":"Abuhantash","given":"Farah","non-dropping-particle":"","parse-names":false,"suffix":""},{"dropping-particle":"","family":"Abuhasheesh","given":"Yazan H.","non-dropping-particle":"","parse-names":false,"suffix":""},{"dropping-particle":"","family":"Hegab","given":"Hanaa M.","non-dropping-particle":"","parse-names":false,"suffix":""},{"dropping-particle":"","family":"Aljundi","given":"Isam H.","non-dropping-particle":"","parse-names":false,"suffix":""},{"dropping-particle":"","family":"Marzooqi","given":"F.","non-dropping-particle":"Al","parse-names":false,"suffix":""},{"dropping-particle":"","family":"Hasan","given":"Shadi W.","non-dropping-particle":"","parse-names":false,"suffix":""}],"container-title":"Journal of Water Process Engineering","id":"ITEM-1","issue":"August","issued":{"date-parts":[["2023"]]},"page":"104310","publisher":"Elsevier Ltd","title":"Hydrophilic, oleophilic and switchable Janus mixed matrix membranes for oily wastewater treatment: A review","type":"article-journal","volume":"56"},"uris":["http://www.mendeley.com/documents/?uuid=244cb884-5688-4222-a8e5-2ee73b938e86"]},{"id":"ITEM-2","itemData":{"DOI":"10.5004/dwt.2020.25910","ISBN":"8615710791","ISSN":"19443986","abstract":"The wide application of ceramic membranes in nowadays can be rationalized by their intrin-sic properties, notably in terms of thermal and chemical stability and high mechanical strength. Compared to the conventional metal oxide materials, this article summarized comprehensively the natural minerals and industrial wastes, which are in abundance and need lower firing temperature, for the ceramic membrane fabrication as the raw materials. These cost-effective ceramic membranes prepared from clay, silty marls, kaolin, zeolite, bauxite, quartz sands, bentonite, cordierite, apatite, perovskite, coal fly ash, coal gangue, blast furnace slag, rice husk ash, pozzolan, etc. have empha-sized the remarkable cost reduction and been broadly applicable to a variety of fields like removal of solid, dye, ion, heavy metal, oily wastewater treatment, juice clarification, seawater desalination, sterilization, hydrogen separation, oxygen permeation, CO2 adsorption and separation, membrane catalysis, etc. The cost of these natural minerals and industrial wastes based ceramic membrane was estimated several times cheaper than the conventional oxide ceramic membrane. This review encour-aged a more economically viable and environmentally sustainable strategy, not only giving a new and facile insight for waste management but also endow a possibility of high-valued recycling.","author":[{"dropping-particle":"","family":"Sun","given":"Linquan","non-dropping-particle":"","parse-names":false,"suffix":""},{"dropping-particle":"","family":"Wang","given":"Ziyi","non-dropping-particle":"","parse-names":false,"suffix":""},{"dropping-particle":"","family":"Gao","given":"Baoyu","non-dropping-particle":"","parse-names":false,"suffix":""}],"container-title":"Desalination and Water Treatment","id":"ITEM-2","issued":{"date-parts":[["2020"]]},"page":"121-138","title":"Ceramic membranes originated from cost-effective and abundant natural minerals and industrial wastes for broad applications – a review","type":"article-journal","volume":"201"},"uris":["http://www.mendeley.com/documents/?uuid=14d76e49-9fe4-425a-9672-e01af2874a9b"]}],"mendeley":{"formattedCitation":"[9,10]","plainTextFormattedCitation":"[9,10]","previouslyFormattedCitation":"[9,10]"},"properties":{"noteIndex":0},"schema":"https://github.com/citation-style-language/schema/raw/master/csl-citation.json"}</w:instrText>
      </w:r>
      <w:r w:rsidR="00943E30">
        <w:fldChar w:fldCharType="separate"/>
      </w:r>
      <w:r w:rsidR="00943E30" w:rsidRPr="00943E30">
        <w:rPr>
          <w:noProof/>
        </w:rPr>
        <w:t>[9,10]</w:t>
      </w:r>
      <w:r w:rsidR="00943E30">
        <w:fldChar w:fldCharType="end"/>
      </w:r>
      <w:r w:rsidR="00943E30">
        <w:t xml:space="preserve">. </w:t>
      </w:r>
    </w:p>
    <w:p w14:paraId="3EDF05D6" w14:textId="65FBD420" w:rsidR="000A68A0" w:rsidRPr="000A68A0" w:rsidRDefault="005E13E9" w:rsidP="000A68A0">
      <w:pPr>
        <w:ind w:firstLine="202"/>
        <w:rPr>
          <w:lang w:val="en-ZA"/>
        </w:rPr>
      </w:pPr>
      <w:r>
        <w:t xml:space="preserve">Several studies were conducted to investigate the oporating parameters of the quartz sands, for insttance </w:t>
      </w:r>
      <w:r w:rsidRPr="005E13E9">
        <w:rPr>
          <w:lang w:val="en-ZA"/>
        </w:rPr>
        <w:t>Hengyang et al.</w:t>
      </w:r>
      <w:r w:rsidR="00C27BB9">
        <w:rPr>
          <w:lang w:val="en-ZA"/>
        </w:rPr>
        <w:t xml:space="preserve"> </w:t>
      </w:r>
      <w:r w:rsidR="00C27BB9">
        <w:rPr>
          <w:lang w:val="en-ZA"/>
        </w:rPr>
        <w:fldChar w:fldCharType="begin" w:fldLock="1"/>
      </w:r>
      <w:r w:rsidR="00C27BB9">
        <w:rPr>
          <w:lang w:val="en-ZA"/>
        </w:rPr>
        <w:instrText>ADDIN CSL_CITATION {"citationItems":[{"id":"ITEM-1","itemData":{"DOI":"10.1016/j.ceramint.2022.02.204","ISSN":"02728842","abstract":"Separation membranes that are prepared from piezoelectric ceramics can generate ultrasound on-line to maintain surface cleanliness. Here, a lead-free piezoelectric support is presented consisting of quartz. The Na2O and Al2O3 were employed as sintering aids to improve the mechanical performance of piezoelectric quartz support while avoid the formation of no-piezoelectric cristobalite. A ZrO2-based thin microfiltration membrane layer was applied on the optimized support. The membrane structure, thus obtained had an average pore size and ultrasonic emission of 270 nm and 5.1 mV, respectively. The stationary permeance of the membrane in the treatment of oil-in-water emulsion was 163 L m−2∙h−1∙bar−1 (LMH/bar). With the application of alternating voltages of 60 V and 100 V, the permeance increased to 198 and 225 LMH/bar, respectively, and the oil rejection was maintained above 97%. The in-situ ultrasound directly acted on membrane surface, so it removed more fouling resistance at lower power than the external one.","author":[{"dropping-particle":"","family":"Mao","given":"Hengyang","non-dropping-particle":"","parse-names":false,"suffix":""},{"dropping-particle":"","family":"Cao","given":"Hongquan","non-dropping-particle":"","parse-names":false,"suffix":""},{"dropping-particle":"","family":"Fan","given":"Wan","non-dropping-particle":"","parse-names":false,"suffix":""},{"dropping-particle":"","family":"Li","given":"Wei","non-dropping-particle":"","parse-names":false,"suffix":""},{"dropping-particle":"","family":"Wu","given":"Yongwei","non-dropping-particle":"","parse-names":false,"suffix":""},{"dropping-particle":"","family":"Chen","given":"Xianfu","non-dropping-particle":"","parse-names":false,"suffix":""},{"dropping-particle":"","family":"Qiu","given":"Minghui","non-dropping-particle":"","parse-names":false,"suffix":""},{"dropping-particle":"","family":"Verweij","given":"Hendrik","non-dropping-particle":"","parse-names":false,"suffix":""},{"dropping-particle":"","family":"Fan","given":"Yiqun","non-dropping-particle":"","parse-names":false,"suffix":""}],"container-title":"Ceramics International","id":"ITEM-1","issue":"12","issued":{"date-parts":[["2022"]]},"page":"16599-16610","publisher":"Elsevier Ltd","title":"Application of piezoelectric quartz for self-cleaning membrane preparation","type":"article-journal","volume":"48"},"uris":["http://www.mendeley.com/documents/?uuid=cc969d22-8f24-4cf0-a43d-33d4c67b8625"]}],"mendeley":{"formattedCitation":"[11]","plainTextFormattedCitation":"[11]","previouslyFormattedCitation":"[11]"},"properties":{"noteIndex":0},"schema":"https://github.com/citation-style-language/schema/raw/master/csl-citation.json"}</w:instrText>
      </w:r>
      <w:r w:rsidR="00C27BB9">
        <w:rPr>
          <w:lang w:val="en-ZA"/>
        </w:rPr>
        <w:fldChar w:fldCharType="separate"/>
      </w:r>
      <w:r w:rsidR="00C27BB9" w:rsidRPr="00C27BB9">
        <w:rPr>
          <w:noProof/>
          <w:lang w:val="en-ZA"/>
        </w:rPr>
        <w:t>[11]</w:t>
      </w:r>
      <w:r w:rsidR="00C27BB9">
        <w:rPr>
          <w:lang w:val="en-ZA"/>
        </w:rPr>
        <w:fldChar w:fldCharType="end"/>
      </w:r>
      <w:r w:rsidR="00C27BB9">
        <w:rPr>
          <w:lang w:val="en-ZA"/>
        </w:rPr>
        <w:t xml:space="preserve"> </w:t>
      </w:r>
      <w:r w:rsidR="000A68A0" w:rsidRPr="000A68A0">
        <w:t>improved the mechanical performance of quartz sand membranes by introducing a sintering agent, achieving a consistent pore size of 270 nm and an oil rejection efficiency exceeding 97%</w:t>
      </w:r>
      <w:r w:rsidRPr="005E13E9">
        <w:rPr>
          <w:lang w:val="en-ZA"/>
        </w:rPr>
        <w:t xml:space="preserve">. </w:t>
      </w:r>
      <w:r>
        <w:rPr>
          <w:lang w:val="en-ZA"/>
        </w:rPr>
        <w:t>While</w:t>
      </w:r>
      <w:r w:rsidRPr="005E13E9">
        <w:rPr>
          <w:lang w:val="en-ZA"/>
        </w:rPr>
        <w:t xml:space="preserve">, </w:t>
      </w:r>
      <w:proofErr w:type="spellStart"/>
      <w:r w:rsidRPr="005E13E9">
        <w:rPr>
          <w:lang w:val="en-ZA"/>
        </w:rPr>
        <w:t>Jinglin</w:t>
      </w:r>
      <w:proofErr w:type="spellEnd"/>
      <w:r w:rsidRPr="005E13E9">
        <w:rPr>
          <w:lang w:val="en-ZA"/>
        </w:rPr>
        <w:t xml:space="preserve"> et al. </w:t>
      </w:r>
      <w:r w:rsidR="00C27BB9">
        <w:rPr>
          <w:lang w:val="en-ZA"/>
        </w:rPr>
        <w:fldChar w:fldCharType="begin" w:fldLock="1"/>
      </w:r>
      <w:r w:rsidR="00C27BB9">
        <w:rPr>
          <w:lang w:val="en-ZA"/>
        </w:rPr>
        <w:instrText>ADDIN CSL_CITATION {"citationItems":[{"id":"ITEM-1","itemData":{"DOI":"10.1016/j.jeurceramsoc.2022.09.038","ISSN":"0955-2219","author":[{"dropping-particle":"","family":"Gao","given":"Jinglin","non-dropping-particle":"","parse-names":false,"suffix":""},{"dropping-particle":"","family":"Cao","given":"Hongquan","non-dropping-particle":"","parse-names":false,"suffix":""},{"dropping-particle":"","family":"Hu","given":"Xiaoyu","non-dropping-particle":"","parse-names":false,"suffix":""},{"dropping-particle":"","family":"Mao","given":"Hengyang","non-dropping-particle":"","parse-names":false,"suffix":""},{"dropping-particle":"","family":"Chen","given":"Xianfu","non-dropping-particle":"","parse-names":false,"suffix":""},{"dropping-particle":"","family":"Qiu","given":"Minghui","non-dropping-particle":"","parse-names":false,"suffix":""},{"dropping-particle":"","family":"Verweij","given":"Hendrik","non-dropping-particle":"","parse-names":false,"suffix":""},{"dropping-particle":"","family":"Fan","given":"Yiqun","non-dropping-particle":"","parse-names":false,"suffix":""}],"container-title":"Journal of the European Ceramic Society","id":"ITEM-1","issue":"1","issued":{"date-parts":[["2023"]]},"page":"109-120","publisher":"Elsevier Ltd","title":"Journal of the European Ceramic Society Piezoelectric porous α -quartz membrane by aqueous gel-casting with enhanced antifouling and mechanical properties","type":"article-journal","volume":"43"},"uris":["http://www.mendeley.com/documents/?uuid=5dd3bbfe-a95b-41b0-a405-91dbd72094e9"]}],"mendeley":{"formattedCitation":"[12]","plainTextFormattedCitation":"[12]","previouslyFormattedCitation":"[12]"},"properties":{"noteIndex":0},"schema":"https://github.com/citation-style-language/schema/raw/master/csl-citation.json"}</w:instrText>
      </w:r>
      <w:r w:rsidR="00C27BB9">
        <w:rPr>
          <w:lang w:val="en-ZA"/>
        </w:rPr>
        <w:fldChar w:fldCharType="separate"/>
      </w:r>
      <w:r w:rsidR="00C27BB9" w:rsidRPr="00C27BB9">
        <w:rPr>
          <w:noProof/>
          <w:lang w:val="en-ZA"/>
        </w:rPr>
        <w:t>[12]</w:t>
      </w:r>
      <w:r w:rsidR="00C27BB9">
        <w:rPr>
          <w:lang w:val="en-ZA"/>
        </w:rPr>
        <w:fldChar w:fldCharType="end"/>
      </w:r>
      <w:r w:rsidR="00C27BB9">
        <w:rPr>
          <w:lang w:val="en-ZA"/>
        </w:rPr>
        <w:t xml:space="preserve"> </w:t>
      </w:r>
      <w:r w:rsidR="000A68A0" w:rsidRPr="000A68A0">
        <w:t xml:space="preserve">investigated varying pore sizes, finding that membranes with a pore size of 190 nm </w:t>
      </w:r>
      <w:r w:rsidR="000A68A0" w:rsidRPr="000A68A0">
        <w:lastRenderedPageBreak/>
        <w:t>achieved a examined quartz sand membranes sintered at 1000°C, reporting a pore size of 16.24 nm, compressive strength of 31.05 MPa, and a maximum oil removal rate of 71.25%, highlighting the benefits of higher sintering temperatures for mechanical strength</w:t>
      </w:r>
      <w:r w:rsidRPr="005E13E9">
        <w:rPr>
          <w:lang w:val="en-ZA"/>
        </w:rPr>
        <w:t>.</w:t>
      </w:r>
      <w:r w:rsidR="000A68A0">
        <w:rPr>
          <w:lang w:val="en-ZA"/>
        </w:rPr>
        <w:t xml:space="preserve"> </w:t>
      </w:r>
      <w:r w:rsidR="000A68A0" w:rsidRPr="000A68A0">
        <w:rPr>
          <w:lang w:val="en-ZA"/>
        </w:rPr>
        <w:t xml:space="preserve">Although several studies have been conducted using quartz sands and measuring operational parameters, there is limited research on the impact of nanoparticle coating on the surface of the quartz particles to improve the wettability of the material for enhanced oil-water separation purity. </w:t>
      </w:r>
      <w:r w:rsidR="000A68A0" w:rsidRPr="00295109">
        <w:rPr>
          <w:lang w:val="en-ZA"/>
        </w:rPr>
        <w:t xml:space="preserve">Therefore, the current study will analyse the impact of hydrophobic nanoparticles on quartz </w:t>
      </w:r>
      <w:r w:rsidR="007F31A6" w:rsidRPr="00295109">
        <w:rPr>
          <w:lang w:val="en-ZA"/>
        </w:rPr>
        <w:t>martial</w:t>
      </w:r>
      <w:r w:rsidR="000A68A0" w:rsidRPr="00295109">
        <w:rPr>
          <w:lang w:val="en-ZA"/>
        </w:rPr>
        <w:t xml:space="preserve"> surfaces, specifically dry-graded silica particles (</w:t>
      </w:r>
      <m:oMath>
        <m:r>
          <m:rPr>
            <m:sty m:val="p"/>
          </m:rPr>
          <w:rPr>
            <w:rFonts w:ascii="Cambria Math" w:hAnsi="Cambria Math"/>
            <w:lang w:val="en-ZA"/>
          </w:rPr>
          <m:t>Si</m:t>
        </m:r>
        <m:sSub>
          <m:sSubPr>
            <m:ctrlPr>
              <w:rPr>
                <w:rFonts w:ascii="Cambria Math" w:hAnsi="Cambria Math"/>
                <w:iCs/>
                <w:lang w:val="en-ZA"/>
              </w:rPr>
            </m:ctrlPr>
          </m:sSubPr>
          <m:e>
            <m:r>
              <m:rPr>
                <m:sty m:val="p"/>
              </m:rPr>
              <w:rPr>
                <w:rFonts w:ascii="Cambria Math" w:hAnsi="Cambria Math"/>
                <w:lang w:val="en-ZA"/>
              </w:rPr>
              <m:t>O</m:t>
            </m:r>
          </m:e>
          <m:sub>
            <m:r>
              <m:rPr>
                <m:sty m:val="p"/>
              </m:rPr>
              <w:rPr>
                <w:rFonts w:ascii="Cambria Math" w:hAnsi="Cambria Math"/>
                <w:lang w:val="en-ZA"/>
              </w:rPr>
              <m:t>2</m:t>
            </m:r>
          </m:sub>
        </m:sSub>
        <m:r>
          <m:rPr>
            <m:sty m:val="p"/>
          </m:rPr>
          <w:rPr>
            <w:rFonts w:ascii="Cambria Math" w:hAnsi="Cambria Math"/>
            <w:lang w:val="en-ZA"/>
          </w:rPr>
          <m:t xml:space="preserve"> 98%, F</m:t>
        </m:r>
        <m:sSub>
          <m:sSubPr>
            <m:ctrlPr>
              <w:rPr>
                <w:rFonts w:ascii="Cambria Math" w:hAnsi="Cambria Math"/>
                <w:iCs/>
                <w:lang w:val="en-ZA"/>
              </w:rPr>
            </m:ctrlPr>
          </m:sSubPr>
          <m:e>
            <m:r>
              <m:rPr>
                <m:sty m:val="p"/>
              </m:rPr>
              <w:rPr>
                <w:rFonts w:ascii="Cambria Math" w:hAnsi="Cambria Math"/>
                <w:lang w:val="en-ZA"/>
              </w:rPr>
              <m:t>e</m:t>
            </m:r>
          </m:e>
          <m:sub>
            <m:r>
              <m:rPr>
                <m:sty m:val="p"/>
              </m:rPr>
              <w:rPr>
                <w:rFonts w:ascii="Cambria Math" w:hAnsi="Cambria Math"/>
                <w:lang w:val="en-ZA"/>
              </w:rPr>
              <m:t>2</m:t>
            </m:r>
          </m:sub>
        </m:sSub>
        <m:sSub>
          <m:sSubPr>
            <m:ctrlPr>
              <w:rPr>
                <w:rFonts w:ascii="Cambria Math" w:hAnsi="Cambria Math"/>
                <w:iCs/>
                <w:lang w:val="en-ZA"/>
              </w:rPr>
            </m:ctrlPr>
          </m:sSubPr>
          <m:e>
            <m:r>
              <m:rPr>
                <m:sty m:val="p"/>
              </m:rPr>
              <w:rPr>
                <w:rFonts w:ascii="Cambria Math" w:hAnsi="Cambria Math"/>
                <w:lang w:val="en-ZA"/>
              </w:rPr>
              <m:t>O</m:t>
            </m:r>
          </m:e>
          <m:sub>
            <m:r>
              <m:rPr>
                <m:sty m:val="p"/>
              </m:rPr>
              <w:rPr>
                <w:rFonts w:ascii="Cambria Math" w:hAnsi="Cambria Math"/>
                <w:lang w:val="en-ZA"/>
              </w:rPr>
              <m:t>3</m:t>
            </m:r>
          </m:sub>
        </m:sSub>
        <m:r>
          <m:rPr>
            <m:sty m:val="p"/>
          </m:rPr>
          <w:rPr>
            <w:rFonts w:ascii="Cambria Math" w:hAnsi="Cambria Math"/>
            <w:lang w:val="en-ZA"/>
          </w:rPr>
          <m:t xml:space="preserve"> 0,18%,</m:t>
        </m:r>
      </m:oMath>
      <w:r w:rsidR="000A68A0" w:rsidRPr="00295109">
        <w:rPr>
          <w:lang w:val="en-ZA"/>
        </w:rPr>
        <w:t xml:space="preserve"> particle size 0.8-1.8 mm) to improve the</w:t>
      </w:r>
      <w:r w:rsidR="007F31A6" w:rsidRPr="00295109">
        <w:rPr>
          <w:lang w:val="en-ZA"/>
        </w:rPr>
        <w:t xml:space="preserve"> oil-water</w:t>
      </w:r>
      <w:r w:rsidR="000A68A0" w:rsidRPr="00295109">
        <w:rPr>
          <w:lang w:val="en-ZA"/>
        </w:rPr>
        <w:t xml:space="preserve"> separation quality</w:t>
      </w:r>
      <w:r w:rsidR="00295109">
        <w:rPr>
          <w:lang w:val="en-ZA"/>
        </w:rPr>
        <w:t xml:space="preserve"> and develop </w:t>
      </w:r>
      <w:r w:rsidR="00295109" w:rsidRPr="00295109">
        <w:rPr>
          <w:rFonts w:ascii="Times New Roman" w:eastAsia="Times New Roman" w:hAnsi="Times New Roman" w:cs="Times New Roman"/>
          <w:lang w:val="en-ZA"/>
        </w:rPr>
        <w:t>m</w:t>
      </w:r>
      <w:r w:rsidR="00295109" w:rsidRPr="00305340">
        <w:rPr>
          <w:rFonts w:ascii="Times New Roman" w:eastAsia="Times New Roman" w:hAnsi="Times New Roman" w:cs="Times New Roman"/>
          <w:lang w:val="en-ZA"/>
        </w:rPr>
        <w:t>athematical models to quantify key parameters</w:t>
      </w:r>
      <w:r w:rsidR="00295109">
        <w:rPr>
          <w:rFonts w:ascii="Times New Roman" w:eastAsia="Times New Roman" w:hAnsi="Times New Roman" w:cs="Times New Roman"/>
          <w:lang w:val="en-ZA"/>
        </w:rPr>
        <w:t>.</w:t>
      </w:r>
    </w:p>
    <w:p w14:paraId="47631E1A" w14:textId="77777777" w:rsidR="00E85EEA" w:rsidRPr="007F31A6" w:rsidRDefault="00E85EEA" w:rsidP="00AE185B">
      <w:pPr>
        <w:rPr>
          <w:lang w:val="en-ZA"/>
        </w:rPr>
      </w:pPr>
    </w:p>
    <w:p w14:paraId="40869C4B" w14:textId="46843A98" w:rsidR="00E85EEA" w:rsidRPr="00CA680A" w:rsidRDefault="00CA680A" w:rsidP="00CA680A">
      <w:pPr>
        <w:pStyle w:val="References"/>
        <w:rPr>
          <w:b/>
          <w:bCs/>
          <w:sz w:val="20"/>
          <w:szCs w:val="20"/>
        </w:rPr>
      </w:pPr>
      <w:r w:rsidRPr="00CA680A">
        <w:rPr>
          <w:b/>
          <w:bCs/>
          <w:sz w:val="20"/>
          <w:szCs w:val="20"/>
        </w:rPr>
        <w:t xml:space="preserve">MATERIALS AND METHODS </w:t>
      </w:r>
    </w:p>
    <w:p w14:paraId="0726C2B7" w14:textId="77777777" w:rsidR="00E85EEA" w:rsidRDefault="00E85EEA">
      <w:pPr>
        <w:pBdr>
          <w:top w:val="nil"/>
          <w:left w:val="nil"/>
          <w:bottom w:val="nil"/>
          <w:right w:val="nil"/>
          <w:between w:val="nil"/>
        </w:pBdr>
        <w:tabs>
          <w:tab w:val="right" w:pos="7100"/>
        </w:tabs>
        <w:spacing w:line="264" w:lineRule="auto"/>
        <w:rPr>
          <w:rFonts w:ascii="Arial" w:eastAsia="Arial" w:hAnsi="Arial" w:cs="Arial"/>
          <w:color w:val="000000"/>
          <w:sz w:val="18"/>
          <w:szCs w:val="18"/>
        </w:rPr>
      </w:pPr>
    </w:p>
    <w:p w14:paraId="52C225C6" w14:textId="20EA39FF" w:rsidR="00B11ECB" w:rsidRDefault="00000000" w:rsidP="00B11ECB">
      <w:pPr>
        <w:ind w:firstLine="204"/>
        <w:rPr>
          <w:lang w:val="en-ZA"/>
        </w:rPr>
      </w:pPr>
      <w:bookmarkStart w:id="2" w:name="_Hlk187147096"/>
      <w:bookmarkStart w:id="3" w:name="_Hlk187145102"/>
      <w:r>
        <w:t>T</w:t>
      </w:r>
      <w:r w:rsidR="00B11ECB">
        <w:t xml:space="preserve">he </w:t>
      </w:r>
      <w:r w:rsidR="00B11ECB" w:rsidRPr="00B11ECB">
        <w:rPr>
          <w:lang w:val="en-ZA"/>
        </w:rPr>
        <w:t>dry-graded silica particles (</w:t>
      </w:r>
      <m:oMath>
        <m:r>
          <m:rPr>
            <m:sty m:val="p"/>
          </m:rPr>
          <w:rPr>
            <w:rFonts w:ascii="Cambria Math" w:hAnsi="Cambria Math"/>
            <w:lang w:val="en-ZA"/>
          </w:rPr>
          <m:t>Si</m:t>
        </m:r>
        <m:sSub>
          <m:sSubPr>
            <m:ctrlPr>
              <w:rPr>
                <w:rFonts w:ascii="Cambria Math" w:hAnsi="Cambria Math"/>
                <w:iCs/>
                <w:lang w:val="en-ZA"/>
              </w:rPr>
            </m:ctrlPr>
          </m:sSubPr>
          <m:e>
            <m:r>
              <m:rPr>
                <m:sty m:val="p"/>
              </m:rPr>
              <w:rPr>
                <w:rFonts w:ascii="Cambria Math" w:hAnsi="Cambria Math"/>
                <w:lang w:val="en-ZA"/>
              </w:rPr>
              <m:t>O</m:t>
            </m:r>
          </m:e>
          <m:sub>
            <m:r>
              <m:rPr>
                <m:sty m:val="p"/>
              </m:rPr>
              <w:rPr>
                <w:rFonts w:ascii="Cambria Math" w:hAnsi="Cambria Math"/>
                <w:lang w:val="en-ZA"/>
              </w:rPr>
              <m:t>2</m:t>
            </m:r>
          </m:sub>
        </m:sSub>
        <m:r>
          <m:rPr>
            <m:sty m:val="p"/>
          </m:rPr>
          <w:rPr>
            <w:rFonts w:ascii="Cambria Math" w:hAnsi="Cambria Math"/>
            <w:lang w:val="en-ZA"/>
          </w:rPr>
          <m:t xml:space="preserve"> 98%, F</m:t>
        </m:r>
        <m:sSub>
          <m:sSubPr>
            <m:ctrlPr>
              <w:rPr>
                <w:rFonts w:ascii="Cambria Math" w:hAnsi="Cambria Math"/>
                <w:iCs/>
                <w:lang w:val="en-ZA"/>
              </w:rPr>
            </m:ctrlPr>
          </m:sSubPr>
          <m:e>
            <m:r>
              <m:rPr>
                <m:sty m:val="p"/>
              </m:rPr>
              <w:rPr>
                <w:rFonts w:ascii="Cambria Math" w:hAnsi="Cambria Math"/>
                <w:lang w:val="en-ZA"/>
              </w:rPr>
              <m:t>e</m:t>
            </m:r>
          </m:e>
          <m:sub>
            <m:r>
              <m:rPr>
                <m:sty m:val="p"/>
              </m:rPr>
              <w:rPr>
                <w:rFonts w:ascii="Cambria Math" w:hAnsi="Cambria Math"/>
                <w:lang w:val="en-ZA"/>
              </w:rPr>
              <m:t>2</m:t>
            </m:r>
          </m:sub>
        </m:sSub>
        <m:sSub>
          <m:sSubPr>
            <m:ctrlPr>
              <w:rPr>
                <w:rFonts w:ascii="Cambria Math" w:hAnsi="Cambria Math"/>
                <w:iCs/>
                <w:lang w:val="en-ZA"/>
              </w:rPr>
            </m:ctrlPr>
          </m:sSubPr>
          <m:e>
            <m:r>
              <m:rPr>
                <m:sty m:val="p"/>
              </m:rPr>
              <w:rPr>
                <w:rFonts w:ascii="Cambria Math" w:hAnsi="Cambria Math"/>
                <w:lang w:val="en-ZA"/>
              </w:rPr>
              <m:t>O</m:t>
            </m:r>
          </m:e>
          <m:sub>
            <m:r>
              <m:rPr>
                <m:sty m:val="p"/>
              </m:rPr>
              <w:rPr>
                <w:rFonts w:ascii="Cambria Math" w:hAnsi="Cambria Math"/>
                <w:lang w:val="en-ZA"/>
              </w:rPr>
              <m:t>3</m:t>
            </m:r>
          </m:sub>
        </m:sSub>
        <m:r>
          <m:rPr>
            <m:sty m:val="p"/>
          </m:rPr>
          <w:rPr>
            <w:rFonts w:ascii="Cambria Math" w:hAnsi="Cambria Math"/>
            <w:lang w:val="en-ZA"/>
          </w:rPr>
          <m:t xml:space="preserve"> 0,18%,</m:t>
        </m:r>
      </m:oMath>
      <w:r w:rsidR="00B11ECB" w:rsidRPr="00B11ECB">
        <w:rPr>
          <w:lang w:val="en-ZA"/>
        </w:rPr>
        <w:t xml:space="preserve"> particle size 0.8-1.8 mm)</w:t>
      </w:r>
      <w:r w:rsidR="00B11ECB">
        <w:rPr>
          <w:lang w:val="en-ZA"/>
        </w:rPr>
        <w:t xml:space="preserve"> were prepared using the crushing technique where the desired particle sizes between 0.8-1.8 mm were obtained as indicated in Figure 1. </w:t>
      </w:r>
    </w:p>
    <w:bookmarkEnd w:id="2"/>
    <w:p w14:paraId="6ABD855D" w14:textId="77777777" w:rsidR="00B11ECB" w:rsidRDefault="00B11ECB" w:rsidP="00B11ECB">
      <w:pPr>
        <w:ind w:firstLine="204"/>
        <w:rPr>
          <w:lang w:val="en-ZA"/>
        </w:rPr>
      </w:pPr>
    </w:p>
    <w:bookmarkEnd w:id="3"/>
    <w:p w14:paraId="1AB96D56" w14:textId="77777777" w:rsidR="00075611" w:rsidRDefault="00075611" w:rsidP="00075611">
      <w:pPr>
        <w:keepNext/>
        <w:ind w:firstLine="204"/>
        <w:jc w:val="center"/>
      </w:pPr>
      <w:r>
        <w:rPr>
          <w:noProof/>
        </w:rPr>
        <w:drawing>
          <wp:inline distT="0" distB="0" distL="0" distR="0" wp14:anchorId="1DEE0DEE" wp14:editId="7B22EA4E">
            <wp:extent cx="2555875" cy="2486660"/>
            <wp:effectExtent l="0" t="0" r="0" b="8890"/>
            <wp:docPr id="201256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5875" cy="2486660"/>
                    </a:xfrm>
                    <a:prstGeom prst="rect">
                      <a:avLst/>
                    </a:prstGeom>
                    <a:noFill/>
                    <a:ln>
                      <a:noFill/>
                    </a:ln>
                  </pic:spPr>
                </pic:pic>
              </a:graphicData>
            </a:graphic>
          </wp:inline>
        </w:drawing>
      </w:r>
    </w:p>
    <w:p w14:paraId="7D1F722D" w14:textId="77777777" w:rsidR="00212759" w:rsidRDefault="00212759" w:rsidP="00075611">
      <w:pPr>
        <w:keepNext/>
        <w:ind w:firstLine="204"/>
        <w:jc w:val="center"/>
      </w:pPr>
    </w:p>
    <w:p w14:paraId="67856650" w14:textId="7E77A5D1" w:rsidR="00B11ECB" w:rsidRDefault="00075611" w:rsidP="001A4697">
      <w:pPr>
        <w:jc w:val="center"/>
        <w:rPr>
          <w:rFonts w:ascii="Times New Roman" w:eastAsia="Times New Roman" w:hAnsi="Times New Roman" w:cs="Times New Roman"/>
          <w:b/>
        </w:rPr>
      </w:pPr>
      <w:r w:rsidRPr="00075611">
        <w:rPr>
          <w:b/>
          <w:bCs/>
        </w:rPr>
        <w:t xml:space="preserve">Figure </w:t>
      </w:r>
      <w:r w:rsidRPr="00075611">
        <w:rPr>
          <w:b/>
          <w:bCs/>
        </w:rPr>
        <w:fldChar w:fldCharType="begin"/>
      </w:r>
      <w:r w:rsidRPr="00075611">
        <w:rPr>
          <w:b/>
          <w:bCs/>
        </w:rPr>
        <w:instrText xml:space="preserve"> SEQ Figure \* ARABIC </w:instrText>
      </w:r>
      <w:r w:rsidRPr="00075611">
        <w:rPr>
          <w:b/>
          <w:bCs/>
        </w:rPr>
        <w:fldChar w:fldCharType="separate"/>
      </w:r>
      <w:r w:rsidR="001B6C2E">
        <w:rPr>
          <w:b/>
          <w:bCs/>
          <w:noProof/>
        </w:rPr>
        <w:t>1</w:t>
      </w:r>
      <w:r w:rsidRPr="00075611">
        <w:rPr>
          <w:b/>
          <w:bCs/>
        </w:rPr>
        <w:fldChar w:fldCharType="end"/>
      </w:r>
      <w:r w:rsidRPr="007B590D">
        <w:rPr>
          <w:b/>
          <w:bCs/>
        </w:rPr>
        <w:t>.</w:t>
      </w:r>
      <w:r w:rsidRPr="007B590D">
        <w:rPr>
          <w:rFonts w:ascii="Times New Roman" w:eastAsia="Times New Roman" w:hAnsi="Times New Roman" w:cs="Times New Roman"/>
          <w:b/>
          <w:bCs/>
        </w:rPr>
        <w:t xml:space="preserve"> </w:t>
      </w:r>
      <w:r w:rsidRPr="00075611">
        <w:rPr>
          <w:rFonts w:ascii="Times New Roman" w:eastAsia="Times New Roman" w:hAnsi="Times New Roman" w:cs="Times New Roman"/>
          <w:bCs/>
        </w:rPr>
        <w:t>Crushed quartz particles</w:t>
      </w:r>
      <w:r>
        <w:rPr>
          <w:rFonts w:ascii="Times New Roman" w:eastAsia="Times New Roman" w:hAnsi="Times New Roman" w:cs="Times New Roman"/>
          <w:b/>
        </w:rPr>
        <w:t xml:space="preserve"> </w:t>
      </w:r>
    </w:p>
    <w:p w14:paraId="50F475CF" w14:textId="77777777" w:rsidR="001A4697" w:rsidRPr="001A4697" w:rsidRDefault="001A4697" w:rsidP="001A4697">
      <w:pPr>
        <w:jc w:val="center"/>
        <w:rPr>
          <w:rFonts w:ascii="Times New Roman" w:eastAsia="Times New Roman" w:hAnsi="Times New Roman" w:cs="Times New Roman"/>
        </w:rPr>
      </w:pPr>
    </w:p>
    <w:p w14:paraId="20CEAA32" w14:textId="5619C998" w:rsidR="00E218AE" w:rsidRPr="00E218AE" w:rsidRDefault="00E218AE" w:rsidP="00E218AE">
      <w:pPr>
        <w:ind w:firstLine="204"/>
        <w:rPr>
          <w:lang w:val="en-ZA"/>
        </w:rPr>
      </w:pPr>
      <w:r w:rsidRPr="00E218AE">
        <w:rPr>
          <w:lang w:val="en-ZA"/>
        </w:rPr>
        <w:t xml:space="preserve">After crushing, the quartz material was thoroughly cleaned using a descaling chemical to eliminate surface impurities and contaminants prior to coating. The cleaned quartz was then air-dried at room temperature (25 °C) for 24 hours. Once dry, the material was spread in a thin, even layer on a flat surface. A high-pressure spray gun was employed to apply hydrophobic nanoparticles to the quartz particles, aiming to enhance surface wettability. Coatings were applied sequentially, ranging from one to four layers, to evaluate their performance in oil-water separation </w:t>
      </w:r>
      <w:r>
        <w:rPr>
          <w:lang w:val="en-ZA"/>
        </w:rPr>
        <w:fldChar w:fldCharType="begin" w:fldLock="1"/>
      </w:r>
      <w:r w:rsidR="001470B0">
        <w:rPr>
          <w:lang w:val="en-ZA"/>
        </w:rPr>
        <w:instrText>ADDIN CSL_CITATION {"citationItems":[{"id":"ITEM-1","itemData":{"DOI":"10.37624/ijert/13.5.2020.842-866","ISSN":"09743154","abstract":"Engineers and scientists are faced with a major challenge of developing predictive models of nanoparticles scattering during membrane coating for efficient oil/water separation. Mechanical molecular simulation studies of key parameters or variable for structure/property correlations during nanoparticles coating are analysed on surface energy driven separability in the current study. The tools of stochastic process were used to study the random nature of nanoparticles scattering during membrane coating process using a specific coating technique. The results obtained in this study revealed theoretical facts that were validated experimentally. It was shown that there is a critical nanoparticles scattering that offers optimal membrane wettability. It was also revealed that total membrane coating doesn't leads to optimal nanoparticle scattering during coating. It was also observed that as nanoparticles inter-separation distances decreased, membrane wettability increased. Clusters were also observed on the membrane surface during high and low pressure coating which impacted wettability. The cluster negatively impacted orientation of nanoparticles and wettability. It was shown that there is an optimal nanoparticles inter-separation distance which gave optimal membrane wettability after 3rd HP round of coating. Different orientation of nanoparticles, size, shape, spatial distribution and morphology were also observed to impact membrane wettability. Clusters were also observed on the membrane and more clusters were observed in LP coating when compared with HP coating. These clusters greatly impacted membrane wettability negatively. Good correlation was observed from the SEM images, EDS and Descriptive statistics of the amount of elements in the surface layer formed after different coating rounds.","author":[{"dropping-particle":"","family":"Sob","given":"P. B.","non-dropping-particle":"","parse-names":false,"suffix":""},{"dropping-particle":"","family":"Alugongo","given":"A. A.","non-dropping-particle":"","parse-names":false,"suffix":""},{"dropping-particle":"","family":"Tengen","given":"T. B.","non-dropping-particle":"","parse-names":false,"suffix":""}],"container-title":"International Journal of Engineering Research and Technology","id":"ITEM-1","issue":"5","issued":{"date-parts":[["2020"]]},"page":"842-866","title":"The stochastic effect of nanoparticles inter-separation distance on membrane wettability during oil/water separation","type":"article-journal","volume":"13"},"uris":["http://www.mendeley.com/documents/?uuid=14b3c354-b3ab-4ab1-a705-c48df553c193"]}],"mendeley":{"formattedCitation":"[13]","plainTextFormattedCitation":"[13]","previouslyFormattedCitation":"[13]"},"properties":{"noteIndex":0},"schema":"https://github.com/citation-style-language/schema/raw/master/csl-citation.json"}</w:instrText>
      </w:r>
      <w:r>
        <w:rPr>
          <w:lang w:val="en-ZA"/>
        </w:rPr>
        <w:fldChar w:fldCharType="separate"/>
      </w:r>
      <w:r w:rsidRPr="00E218AE">
        <w:rPr>
          <w:noProof/>
          <w:lang w:val="en-ZA"/>
        </w:rPr>
        <w:t>[13]</w:t>
      </w:r>
      <w:r>
        <w:rPr>
          <w:lang w:val="en-ZA"/>
        </w:rPr>
        <w:fldChar w:fldCharType="end"/>
      </w:r>
      <w:r w:rsidRPr="00E218AE">
        <w:rPr>
          <w:lang w:val="en-ZA"/>
        </w:rPr>
        <w:t>.</w:t>
      </w:r>
    </w:p>
    <w:p w14:paraId="33640985" w14:textId="77777777" w:rsidR="00E218AE" w:rsidRPr="00E218AE" w:rsidRDefault="00E218AE" w:rsidP="00E218AE">
      <w:pPr>
        <w:ind w:firstLine="204"/>
        <w:rPr>
          <w:lang w:val="en-ZA"/>
        </w:rPr>
      </w:pPr>
      <w:r w:rsidRPr="00E218AE">
        <w:rPr>
          <w:lang w:val="en-ZA"/>
        </w:rPr>
        <w:t>To ensure uniform coating, the spray gun nozzle was positioned at a 90-degree angle, maintaining a 5 mm distance from the particle surface. After coating, the quartz particles were prepared for analysis using Scanning Electron Microscopy (SEM) to examine surface morphology, as illustrated in Figure 2. For a comprehensive comparison of surface wettability, the samples were categorized into four groups: raw, washed, and coated (with one to four layers of nanoparticles).</w:t>
      </w:r>
    </w:p>
    <w:p w14:paraId="14C691AC" w14:textId="1FCE067D" w:rsidR="001A4697" w:rsidRDefault="001A4697" w:rsidP="00E218AE">
      <w:pPr>
        <w:ind w:firstLine="204"/>
      </w:pPr>
    </w:p>
    <w:p w14:paraId="5BDA176D" w14:textId="77777777" w:rsidR="001A4697" w:rsidRDefault="001A4697" w:rsidP="00075611">
      <w:pPr>
        <w:ind w:firstLine="204"/>
        <w:rPr>
          <w:lang w:val="en-ZA"/>
        </w:rPr>
      </w:pPr>
    </w:p>
    <w:p w14:paraId="4D278D37" w14:textId="77777777" w:rsidR="00745DB4" w:rsidRDefault="00745DB4" w:rsidP="00745DB4">
      <w:pPr>
        <w:keepNext/>
        <w:ind w:firstLine="204"/>
        <w:jc w:val="center"/>
      </w:pPr>
      <w:r>
        <w:rPr>
          <w:noProof/>
        </w:rPr>
        <w:drawing>
          <wp:inline distT="0" distB="0" distL="0" distR="0" wp14:anchorId="1EC3C46B" wp14:editId="256318C1">
            <wp:extent cx="3076575" cy="914400"/>
            <wp:effectExtent l="0" t="0" r="9525" b="0"/>
            <wp:docPr id="163985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54658" name=""/>
                    <pic:cNvPicPr/>
                  </pic:nvPicPr>
                  <pic:blipFill>
                    <a:blip r:embed="rId12"/>
                    <a:stretch>
                      <a:fillRect/>
                    </a:stretch>
                  </pic:blipFill>
                  <pic:spPr>
                    <a:xfrm>
                      <a:off x="0" y="0"/>
                      <a:ext cx="3076575" cy="914400"/>
                    </a:xfrm>
                    <a:prstGeom prst="rect">
                      <a:avLst/>
                    </a:prstGeom>
                  </pic:spPr>
                </pic:pic>
              </a:graphicData>
            </a:graphic>
          </wp:inline>
        </w:drawing>
      </w:r>
    </w:p>
    <w:p w14:paraId="4D3A486E" w14:textId="77777777" w:rsidR="00212759" w:rsidRDefault="00212759" w:rsidP="00745DB4">
      <w:pPr>
        <w:keepNext/>
        <w:ind w:firstLine="204"/>
        <w:jc w:val="center"/>
      </w:pPr>
    </w:p>
    <w:p w14:paraId="04FCAA05" w14:textId="4223EA37" w:rsidR="00E85EEA" w:rsidRDefault="00745DB4" w:rsidP="007F31A6">
      <w:pPr>
        <w:pStyle w:val="Caption"/>
        <w:jc w:val="center"/>
        <w:rPr>
          <w:rFonts w:ascii="Times New Roman" w:hAnsi="Times New Roman" w:cs="Times New Roman"/>
          <w:i w:val="0"/>
          <w:iCs w:val="0"/>
          <w:color w:val="auto"/>
          <w:sz w:val="20"/>
          <w:szCs w:val="20"/>
          <w:lang w:val="en-ZA"/>
        </w:rPr>
      </w:pPr>
      <w:r w:rsidRPr="00745DB4">
        <w:rPr>
          <w:rFonts w:ascii="Times New Roman" w:hAnsi="Times New Roman" w:cs="Times New Roman"/>
          <w:b/>
          <w:bCs/>
          <w:i w:val="0"/>
          <w:iCs w:val="0"/>
          <w:color w:val="auto"/>
          <w:sz w:val="20"/>
          <w:szCs w:val="20"/>
        </w:rPr>
        <w:t xml:space="preserve">Figure </w:t>
      </w:r>
      <w:r w:rsidRPr="00745DB4">
        <w:rPr>
          <w:rFonts w:ascii="Times New Roman" w:hAnsi="Times New Roman" w:cs="Times New Roman"/>
          <w:b/>
          <w:bCs/>
          <w:i w:val="0"/>
          <w:iCs w:val="0"/>
          <w:color w:val="auto"/>
          <w:sz w:val="20"/>
          <w:szCs w:val="20"/>
        </w:rPr>
        <w:fldChar w:fldCharType="begin"/>
      </w:r>
      <w:r w:rsidRPr="00745DB4">
        <w:rPr>
          <w:rFonts w:ascii="Times New Roman" w:hAnsi="Times New Roman" w:cs="Times New Roman"/>
          <w:b/>
          <w:bCs/>
          <w:i w:val="0"/>
          <w:iCs w:val="0"/>
          <w:color w:val="auto"/>
          <w:sz w:val="20"/>
          <w:szCs w:val="20"/>
        </w:rPr>
        <w:instrText xml:space="preserve"> SEQ Figure \* ARABIC </w:instrText>
      </w:r>
      <w:r w:rsidRPr="00745DB4">
        <w:rPr>
          <w:rFonts w:ascii="Times New Roman" w:hAnsi="Times New Roman" w:cs="Times New Roman"/>
          <w:b/>
          <w:bCs/>
          <w:i w:val="0"/>
          <w:iCs w:val="0"/>
          <w:color w:val="auto"/>
          <w:sz w:val="20"/>
          <w:szCs w:val="20"/>
        </w:rPr>
        <w:fldChar w:fldCharType="separate"/>
      </w:r>
      <w:r w:rsidR="001B6C2E">
        <w:rPr>
          <w:rFonts w:ascii="Times New Roman" w:hAnsi="Times New Roman" w:cs="Times New Roman"/>
          <w:b/>
          <w:bCs/>
          <w:i w:val="0"/>
          <w:iCs w:val="0"/>
          <w:noProof/>
          <w:color w:val="auto"/>
          <w:sz w:val="20"/>
          <w:szCs w:val="20"/>
        </w:rPr>
        <w:t>2</w:t>
      </w:r>
      <w:r w:rsidRPr="00745DB4">
        <w:rPr>
          <w:rFonts w:ascii="Times New Roman" w:hAnsi="Times New Roman" w:cs="Times New Roman"/>
          <w:b/>
          <w:bCs/>
          <w:i w:val="0"/>
          <w:iCs w:val="0"/>
          <w:color w:val="auto"/>
          <w:sz w:val="20"/>
          <w:szCs w:val="20"/>
        </w:rPr>
        <w:fldChar w:fldCharType="end"/>
      </w:r>
      <w:r w:rsidRPr="007B590D">
        <w:rPr>
          <w:rFonts w:ascii="Times New Roman" w:hAnsi="Times New Roman" w:cs="Times New Roman"/>
          <w:b/>
          <w:bCs/>
          <w:i w:val="0"/>
          <w:iCs w:val="0"/>
          <w:color w:val="auto"/>
          <w:sz w:val="20"/>
          <w:szCs w:val="20"/>
        </w:rPr>
        <w:t>.</w:t>
      </w:r>
      <w:r w:rsidRPr="00745DB4">
        <w:rPr>
          <w:rFonts w:ascii="Times New Roman" w:hAnsi="Times New Roman" w:cs="Times New Roman"/>
          <w:i w:val="0"/>
          <w:iCs w:val="0"/>
          <w:color w:val="auto"/>
          <w:sz w:val="20"/>
          <w:szCs w:val="20"/>
        </w:rPr>
        <w:t xml:space="preserve"> </w:t>
      </w:r>
      <w:r w:rsidRPr="00745DB4">
        <w:rPr>
          <w:rFonts w:ascii="Times New Roman" w:hAnsi="Times New Roman" w:cs="Times New Roman"/>
          <w:i w:val="0"/>
          <w:iCs w:val="0"/>
          <w:color w:val="auto"/>
          <w:sz w:val="20"/>
          <w:szCs w:val="20"/>
          <w:lang w:val="en-ZA"/>
        </w:rPr>
        <w:t>Samples prepared for SEM characterization, illustrating the progression from untreated to multiple coated stages. The samples include (a) Raw quartz material, showcasing its natural surface structure; (b) Quartz after washing, highlighting the cleaned surface; (c) Quartz with the first nanoparticle coating, showing the initial distribution of nanoparticles; (d) Quartz with a second coating, indicating changes with an additional layer; (e) Quartz with a third coating, demonstrating further nanoparticle buildup; and (f) Quartz with the fourth coating, representing the final stage before SEM analysis. These samples enable detailed analysis of surface morphology and nanoparticle adherence through SEM imaging.</w:t>
      </w:r>
    </w:p>
    <w:p w14:paraId="6F2A6AF7" w14:textId="495680EA" w:rsidR="001470B0" w:rsidRDefault="001470B0" w:rsidP="001470B0">
      <w:pPr>
        <w:rPr>
          <w:b/>
          <w:bCs/>
          <w:lang w:val="en-ZA"/>
        </w:rPr>
      </w:pPr>
      <w:r w:rsidRPr="001470B0">
        <w:rPr>
          <w:b/>
          <w:bCs/>
          <w:lang w:val="en-ZA"/>
        </w:rPr>
        <w:t>2.1 Oil/water separation using quartz martial</w:t>
      </w:r>
    </w:p>
    <w:p w14:paraId="078871DB" w14:textId="77777777" w:rsidR="001470B0" w:rsidRDefault="001470B0" w:rsidP="001470B0">
      <w:pPr>
        <w:rPr>
          <w:b/>
          <w:bCs/>
          <w:lang w:val="en-ZA"/>
        </w:rPr>
      </w:pPr>
    </w:p>
    <w:p w14:paraId="135D739C" w14:textId="0D914DF2" w:rsidR="001470B0" w:rsidRDefault="00C53D35" w:rsidP="001470B0">
      <w:pPr>
        <w:ind w:firstLine="204"/>
        <w:rPr>
          <w:lang w:val="en-ZA"/>
        </w:rPr>
      </w:pPr>
      <w:r w:rsidRPr="00C53D35">
        <w:t>Dry-graded silica particles (SiO</w:t>
      </w:r>
      <w:r w:rsidRPr="00C53D35">
        <w:rPr>
          <w:rFonts w:ascii="Cambria Math" w:hAnsi="Cambria Math" w:cs="Cambria Math"/>
        </w:rPr>
        <w:t>₂</w:t>
      </w:r>
      <w:r w:rsidRPr="00C53D35">
        <w:t xml:space="preserve"> 98%, Fe</w:t>
      </w:r>
      <w:r w:rsidRPr="00C53D35">
        <w:rPr>
          <w:rFonts w:ascii="Cambria Math" w:hAnsi="Cambria Math" w:cs="Cambria Math"/>
        </w:rPr>
        <w:t>₂</w:t>
      </w:r>
      <w:r w:rsidRPr="00C53D35">
        <w:t>O</w:t>
      </w:r>
      <w:r w:rsidRPr="00C53D35">
        <w:rPr>
          <w:rFonts w:ascii="Cambria Math" w:hAnsi="Cambria Math" w:cs="Cambria Math"/>
        </w:rPr>
        <w:t>₃</w:t>
      </w:r>
      <w:r w:rsidRPr="00C53D35">
        <w:t xml:space="preserve"> 0.18%, particle size 0.8–1.8 mm) were utilized to investigate the quality of permeate during oil-water separation</w:t>
      </w:r>
      <w:r w:rsidR="001470B0">
        <w:rPr>
          <w:lang w:val="en-ZA"/>
        </w:rPr>
        <w:t xml:space="preserve">. </w:t>
      </w:r>
      <w:r w:rsidRPr="00C53D35">
        <w:t xml:space="preserve">The study employed the </w:t>
      </w:r>
      <w:bookmarkStart w:id="4" w:name="_Hlk187148869"/>
      <w:r w:rsidRPr="00C53D35">
        <w:t>gravitational bed gravity-accelerated technique</w:t>
      </w:r>
      <w:bookmarkEnd w:id="4"/>
      <w:r w:rsidRPr="00C53D35">
        <w:t>, as illustrated in Figure 3, to ensure a separation process free from mechanical or electrical influence. Diesel</w:t>
      </w:r>
      <w:r>
        <w:t xml:space="preserve"> in water</w:t>
      </w:r>
      <w:r w:rsidRPr="00C53D35">
        <w:t xml:space="preserve"> was used to simulate industrial oily wastewater in the experiments</w:t>
      </w:r>
      <w:r w:rsidR="001470B0">
        <w:rPr>
          <w:lang w:val="en-ZA"/>
        </w:rPr>
        <w:t xml:space="preserve"> </w:t>
      </w:r>
      <w:r w:rsidR="001470B0">
        <w:rPr>
          <w:lang w:val="en-ZA"/>
        </w:rPr>
        <w:fldChar w:fldCharType="begin" w:fldLock="1"/>
      </w:r>
      <w:r w:rsidR="004E3AE6">
        <w:rPr>
          <w:lang w:val="en-ZA"/>
        </w:rPr>
        <w:instrText>ADDIN CSL_CITATION {"citationItems":[{"id":"ITEM-1","itemData":{"DOI":"10.3390/pr8091083","ISSN":"22279717","abstract":"For continuous and efficient oil/water separation and adsorption of dyes, coconut shell powder was grafted onto the surface of quartz sand by dip-coating method to make coconut shell powder-covered quartz sand filter media (CSQS) with superhydrophilic and underwater superoleophobic properties and superoleophilic and underoil highly hydrophobic properties. The contact angles of the underwater oil and underoil water with CSQS were more than 151.2° and 134.2°, respectively. A continuous oil/water separation device was designed. The separation device filled with CSQS can separate oil/water mixture (whether heavy or light oil) into water and oil at the same time with a separation efficiency of above 99.92%. The filter layer can be recovered through reverse extrusion even after lyophobic liquid penetrated the filter layer; hence, the separation efficiency of the filter layer was still above 99.99% for diesel and water mixture. Simultaneously, CSQS can effectively adsorb methylene blue with the highest removal rate as 98.94%. CSQS can maintain stable wettability under harsh environment conditions. This paper provides a new idea on continuous and efficient oil/water separation and simultaneous dye adsorption.","author":[{"dropping-particle":"","family":"Wei","given":"Bigui","non-dropping-particle":"","parse-names":false,"suffix":""},{"dropping-particle":"","family":"Luo","given":"Xuying","non-dropping-particle":"","parse-names":false,"suffix":""},{"dropping-particle":"","family":"Song","given":"Xiaosan","non-dropping-particle":"","parse-names":false,"suffix":""},{"dropping-particle":"","family":"Guo","given":"Hanyue","non-dropping-particle":"","parse-names":false,"suffix":""},{"dropping-particle":"","family":"Dai","given":"Liang","non-dropping-particle":"","parse-names":false,"suffix":""},{"dropping-particle":"","family":"Zhang","given":"Hongwei","non-dropping-particle":"","parse-names":false,"suffix":""},{"dropping-particle":"","family":"Wang","given":"Gang","non-dropping-particle":"","parse-names":false,"suffix":""}],"container-title":"Processes","id":"ITEM-1","issue":"9","issued":{"date-parts":[["2020"]]},"title":"Quartz sand filter media with special wettability for continuous and efficient oil/water separation and dye adsorption","type":"article-journal","volume":"8"},"uris":["http://www.mendeley.com/documents/?uuid=0ba12c81-56ad-40ce-b525-e4d5780cf902"]},{"id":"ITEM-2","itemData":{"DOI":"10.1016/j.jwpe.2022.102756","ISSN":"22147144","abstract":"During the separation of water-insoluble oil droplets in the oily wastewater by the membrane treatment process, the simultaneous removal of organic pollutants dissolved in the aqueous phase remains a challenge. Herein, we demonstrate an effective strategy for preparing dual-functional membranes with hybridization of novel β-cyclodextrin (β-CD) derivatives to achieve complete cleansing of oily sewage. Alkylenedioxy bridged bis(p-difluoro-p-dicyano) phenyl substituted β-CDs (R3-2T-2β-CD and R6-2T-2β-CD) are first synthesized and incorporated into three frequently used membranes (polyethersulfone (PES), poly(p-phenylene terephthalamide) (PPTA) and poly(m-phenylene isophthalamide) (PMIA)) casting solutions to fabricate hybrid membranes, respectively. The hydrophilicity of the prepared membrane can be improved greatly for the separation of oil-in-water emulsions. The PMIA/R3-2T-2β-CD membrane exhibited pure water permeances over 760.50 L·m−2·h−1·bar−1 with separation efficiency of the tween 80 stabilized diesel-in-water emulsion above 98.62% under cross-flow filtration. Significantly, the hybrid membranes could concurrently remove naphthalene and methylene blue dissolved in water during oil-in-water separation. This study proves the application potential of cyclodextrins in designing membrane materials and these one-step hybrid membranes can thoroughly decontaminate oil-in-water emulsions by eliminating the dissolved polycyclic aromatic molecules.","author":[{"dropping-particle":"","family":"Guan","given":"Chengdong","non-dropping-particle":"","parse-names":false,"suffix":""},{"dropping-particle":"","family":"Xu","given":"Fang","non-dropping-particle":"","parse-names":false,"suffix":""},{"dropping-particle":"","family":"Li","given":"Yanlin","non-dropping-particle":"","parse-names":false,"suffix":""},{"dropping-particle":"","family":"Zhu","given":"Lijun","non-dropping-particle":"","parse-names":false,"suffix":""},{"dropping-particle":"","family":"Xia","given":"Daohong","non-dropping-particle":"","parse-names":false,"suffix":""}],"container-title":"Journal of Water Process Engineering","id":"ITEM-2","issue":"December 2021","issued":{"date-parts":[["2022"]]},"page":"102756","publisher":"Elsevier Ltd","title":"Construction of dual-functional membrane with novel structured β-cyclodextrin hybridization for simultaneous oily wastewater separation and hazardous aromatics removal","type":"article-journal","volume":"47"},"uris":["http://www.mendeley.com/documents/?uuid=6d73b16c-a5cf-4587-8d07-0f6ae960024a"]},{"id":"ITEM-3","itemData":{"DOI":"10.1016/j.apsusc.2018.04.030","ISSN":"01694332","abstract":"It is imperative and challenging to develop environmentally acceptable and cost-effective materials which can readily separate stable emulsions like diesel-in-water emulsion stabilized with surfactants. Thus we attempt to prepare superhydrophobic-oleophilic nano-silica powders with an aggregate diameter of about 300 nm and a surface area of 231.2 m 2 /g by a surface modification method. Quartz sand surface are treated by as-obtained superhydrophobic-oleophilic silica nanoparticles containing only ca 0.4 wt% of organic functional groups to alter its intrinsic hydrophilicity to superhydrophobicity (with a water contact angle of 154.0 ± 1.2° and a sliding angle of about 4°). The resultant superhydrophobic quartz sand exhibits oleophilicity and can act as a high performance filter to separate oil-water mixture with a good reusability, which makes it feasible for the oil film on the surface of water to be fully adsorbed by the treated quartz sand and easily separated from the water. In the meantime, the treated quartz sand filter can break the stability of surfactant stabilized oil/water emulsion, thereby facilitating the efficient separation of the oil phase from the aqueous phase. The as-prepared superhydrophobic and lipophilic quartz sand could be used as a cost-effective and environmentally acceptable filter for oil-water separation in petrochemical industry.","author":[{"dropping-particle":"","family":"Liu","given":"Peisong","non-dropping-particle":"","parse-names":false,"suffix":""},{"dropping-particle":"","family":"Niu","given":"Liyong","non-dropping-particle":"","parse-names":false,"suffix":""},{"dropping-particle":"","family":"Tao","given":"Xiaohe","non-dropping-particle":"","parse-names":false,"suffix":""},{"dropping-particle":"","family":"Li","given":"Xiaohong","non-dropping-particle":"","parse-names":false,"suffix":""},{"dropping-particle":"","family":"Zhang","given":"Zhijun","non-dropping-particle":"","parse-names":false,"suffix":""},{"dropping-particle":"","family":"Yu","given":"Laigui","non-dropping-particle":"","parse-names":false,"suffix":""}],"container-title":"Applied Surface Science","id":"ITEM-3","issued":{"date-parts":[["2018"]]},"page":"656-663","title":"Preparation of superhydrophobic-oleophilic quartz sand filter and its application in oil-water separation","type":"article-journal","volume":"447"},"uris":["http://www.mendeley.com/documents/?uuid=becc0eb2-5406-46c6-83c6-b295c9ae5890"]}],"mendeley":{"formattedCitation":"[14–16]","plainTextFormattedCitation":"[14–16]","previouslyFormattedCitation":"[14–16]"},"properties":{"noteIndex":0},"schema":"https://github.com/citation-style-language/schema/raw/master/csl-citation.json"}</w:instrText>
      </w:r>
      <w:r w:rsidR="001470B0">
        <w:rPr>
          <w:lang w:val="en-ZA"/>
        </w:rPr>
        <w:fldChar w:fldCharType="separate"/>
      </w:r>
      <w:r w:rsidR="001470B0" w:rsidRPr="001470B0">
        <w:rPr>
          <w:noProof/>
          <w:lang w:val="en-ZA"/>
        </w:rPr>
        <w:t>[14–16]</w:t>
      </w:r>
      <w:r w:rsidR="001470B0">
        <w:rPr>
          <w:lang w:val="en-ZA"/>
        </w:rPr>
        <w:fldChar w:fldCharType="end"/>
      </w:r>
      <w:r w:rsidR="001470B0">
        <w:rPr>
          <w:lang w:val="en-ZA"/>
        </w:rPr>
        <w:t xml:space="preserve">. </w:t>
      </w:r>
    </w:p>
    <w:p w14:paraId="588025E3" w14:textId="77777777" w:rsidR="00AB3810" w:rsidRDefault="00AB3810" w:rsidP="00AB3810">
      <w:pPr>
        <w:rPr>
          <w:lang w:val="en-ZA"/>
        </w:rPr>
      </w:pPr>
    </w:p>
    <w:p w14:paraId="2B3818AF" w14:textId="25351018" w:rsidR="00AB3810" w:rsidRDefault="00C53D35" w:rsidP="00AB3810">
      <w:pPr>
        <w:keepNext/>
        <w:jc w:val="center"/>
      </w:pPr>
      <w:r>
        <w:rPr>
          <w:noProof/>
        </w:rPr>
        <w:drawing>
          <wp:inline distT="0" distB="0" distL="0" distR="0" wp14:anchorId="7FB73B83" wp14:editId="35B49AA8">
            <wp:extent cx="3306382" cy="1607127"/>
            <wp:effectExtent l="0" t="0" r="8890" b="0"/>
            <wp:docPr id="1217659128" name="Picture 1" descr="A close-up of a round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59128" name="Picture 1" descr="A close-up of a round container&#10;&#10;Description automatically generated"/>
                    <pic:cNvPicPr/>
                  </pic:nvPicPr>
                  <pic:blipFill>
                    <a:blip r:embed="rId13"/>
                    <a:stretch>
                      <a:fillRect/>
                    </a:stretch>
                  </pic:blipFill>
                  <pic:spPr>
                    <a:xfrm>
                      <a:off x="0" y="0"/>
                      <a:ext cx="3313857" cy="1610760"/>
                    </a:xfrm>
                    <a:prstGeom prst="rect">
                      <a:avLst/>
                    </a:prstGeom>
                  </pic:spPr>
                </pic:pic>
              </a:graphicData>
            </a:graphic>
          </wp:inline>
        </w:drawing>
      </w:r>
    </w:p>
    <w:p w14:paraId="63A157D1" w14:textId="77777777" w:rsidR="00212759" w:rsidRDefault="00212759" w:rsidP="00AB3810">
      <w:pPr>
        <w:keepNext/>
        <w:jc w:val="center"/>
      </w:pPr>
    </w:p>
    <w:p w14:paraId="31227219" w14:textId="1E85F64A" w:rsidR="001470B0" w:rsidRDefault="00AB3810" w:rsidP="00BF671B">
      <w:pPr>
        <w:pStyle w:val="Caption"/>
        <w:jc w:val="center"/>
        <w:rPr>
          <w:rFonts w:ascii="Times New Roman" w:hAnsi="Times New Roman" w:cs="Times New Roman"/>
          <w:i w:val="0"/>
          <w:iCs w:val="0"/>
          <w:color w:val="auto"/>
          <w:sz w:val="20"/>
          <w:szCs w:val="20"/>
          <w:lang w:val="en-ZA"/>
        </w:rPr>
      </w:pPr>
      <w:r w:rsidRPr="00AB3810">
        <w:rPr>
          <w:rFonts w:ascii="Times New Roman" w:hAnsi="Times New Roman" w:cs="Times New Roman"/>
          <w:b/>
          <w:bCs/>
          <w:i w:val="0"/>
          <w:iCs w:val="0"/>
          <w:color w:val="auto"/>
          <w:sz w:val="20"/>
          <w:szCs w:val="20"/>
        </w:rPr>
        <w:t xml:space="preserve">Figure </w:t>
      </w:r>
      <w:r w:rsidRPr="00AB3810">
        <w:rPr>
          <w:rFonts w:ascii="Times New Roman" w:hAnsi="Times New Roman" w:cs="Times New Roman"/>
          <w:b/>
          <w:bCs/>
          <w:i w:val="0"/>
          <w:iCs w:val="0"/>
          <w:color w:val="auto"/>
          <w:sz w:val="20"/>
          <w:szCs w:val="20"/>
        </w:rPr>
        <w:fldChar w:fldCharType="begin"/>
      </w:r>
      <w:r w:rsidRPr="00AB3810">
        <w:rPr>
          <w:rFonts w:ascii="Times New Roman" w:hAnsi="Times New Roman" w:cs="Times New Roman"/>
          <w:b/>
          <w:bCs/>
          <w:i w:val="0"/>
          <w:iCs w:val="0"/>
          <w:color w:val="auto"/>
          <w:sz w:val="20"/>
          <w:szCs w:val="20"/>
        </w:rPr>
        <w:instrText xml:space="preserve"> SEQ Figure \* ARABIC </w:instrText>
      </w:r>
      <w:r w:rsidRPr="00AB3810">
        <w:rPr>
          <w:rFonts w:ascii="Times New Roman" w:hAnsi="Times New Roman" w:cs="Times New Roman"/>
          <w:b/>
          <w:bCs/>
          <w:i w:val="0"/>
          <w:iCs w:val="0"/>
          <w:color w:val="auto"/>
          <w:sz w:val="20"/>
          <w:szCs w:val="20"/>
        </w:rPr>
        <w:fldChar w:fldCharType="separate"/>
      </w:r>
      <w:r w:rsidR="001B6C2E">
        <w:rPr>
          <w:rFonts w:ascii="Times New Roman" w:hAnsi="Times New Roman" w:cs="Times New Roman"/>
          <w:b/>
          <w:bCs/>
          <w:i w:val="0"/>
          <w:iCs w:val="0"/>
          <w:noProof/>
          <w:color w:val="auto"/>
          <w:sz w:val="20"/>
          <w:szCs w:val="20"/>
        </w:rPr>
        <w:t>3</w:t>
      </w:r>
      <w:r w:rsidRPr="00AB3810">
        <w:rPr>
          <w:rFonts w:ascii="Times New Roman" w:hAnsi="Times New Roman" w:cs="Times New Roman"/>
          <w:b/>
          <w:bCs/>
          <w:i w:val="0"/>
          <w:iCs w:val="0"/>
          <w:color w:val="auto"/>
          <w:sz w:val="20"/>
          <w:szCs w:val="20"/>
        </w:rPr>
        <w:fldChar w:fldCharType="end"/>
      </w:r>
      <w:r w:rsidRPr="00AB3810">
        <w:rPr>
          <w:rFonts w:ascii="Times New Roman" w:hAnsi="Times New Roman" w:cs="Times New Roman"/>
          <w:b/>
          <w:bCs/>
          <w:i w:val="0"/>
          <w:iCs w:val="0"/>
          <w:color w:val="auto"/>
          <w:sz w:val="20"/>
          <w:szCs w:val="20"/>
        </w:rPr>
        <w:t>.</w:t>
      </w:r>
      <w:r>
        <w:rPr>
          <w:rFonts w:ascii="Times New Roman" w:hAnsi="Times New Roman" w:cs="Times New Roman"/>
          <w:b/>
          <w:bCs/>
          <w:i w:val="0"/>
          <w:iCs w:val="0"/>
          <w:color w:val="auto"/>
          <w:sz w:val="20"/>
          <w:szCs w:val="20"/>
        </w:rPr>
        <w:t xml:space="preserve"> </w:t>
      </w:r>
      <w:r w:rsidRPr="00AB3810">
        <w:rPr>
          <w:rFonts w:ascii="Times New Roman" w:hAnsi="Times New Roman" w:cs="Times New Roman"/>
          <w:i w:val="0"/>
          <w:iCs w:val="0"/>
          <w:color w:val="auto"/>
          <w:sz w:val="20"/>
          <w:szCs w:val="20"/>
          <w:lang w:val="en-ZA"/>
        </w:rPr>
        <w:t xml:space="preserve">Illustrates the quartz </w:t>
      </w:r>
      <w:r>
        <w:rPr>
          <w:rFonts w:ascii="Times New Roman" w:hAnsi="Times New Roman" w:cs="Times New Roman"/>
          <w:i w:val="0"/>
          <w:iCs w:val="0"/>
          <w:color w:val="auto"/>
          <w:sz w:val="20"/>
          <w:szCs w:val="20"/>
          <w:lang w:val="en-ZA"/>
        </w:rPr>
        <w:t>material</w:t>
      </w:r>
      <w:r w:rsidRPr="00AB3810">
        <w:rPr>
          <w:rFonts w:ascii="Times New Roman" w:hAnsi="Times New Roman" w:cs="Times New Roman"/>
          <w:i w:val="0"/>
          <w:iCs w:val="0"/>
          <w:color w:val="auto"/>
          <w:sz w:val="20"/>
          <w:szCs w:val="20"/>
          <w:lang w:val="en-ZA"/>
        </w:rPr>
        <w:t xml:space="preserve"> employed for oil and water separation, with (a) showing the quartz filtration bed and (b) depicting the oil and water mixture</w:t>
      </w:r>
    </w:p>
    <w:p w14:paraId="3D58C38C" w14:textId="651B8009" w:rsidR="00A27FDC" w:rsidRPr="00A27FDC" w:rsidRDefault="00A27FDC" w:rsidP="00A27FDC">
      <w:pPr>
        <w:pStyle w:val="References"/>
        <w:numPr>
          <w:ilvl w:val="0"/>
          <w:numId w:val="0"/>
        </w:numPr>
        <w:rPr>
          <w:b/>
          <w:bCs/>
          <w:sz w:val="20"/>
          <w:szCs w:val="20"/>
        </w:rPr>
      </w:pPr>
      <w:r w:rsidRPr="00A27FDC">
        <w:rPr>
          <w:b/>
          <w:bCs/>
          <w:sz w:val="20"/>
          <w:szCs w:val="20"/>
        </w:rPr>
        <w:t xml:space="preserve">2.2 Mathematical models developed to analyze quartz material performance </w:t>
      </w:r>
    </w:p>
    <w:p w14:paraId="6C1338D0" w14:textId="77777777" w:rsidR="00E85EEA" w:rsidRDefault="00E85EEA">
      <w:pPr>
        <w:ind w:firstLine="202"/>
      </w:pPr>
    </w:p>
    <w:p w14:paraId="728A5677" w14:textId="20DA7402" w:rsidR="00A27FDC" w:rsidRDefault="00A27FDC">
      <w:pPr>
        <w:ind w:firstLine="202"/>
      </w:pPr>
      <w:r>
        <w:t xml:space="preserve">The mathematical models were developed to </w:t>
      </w:r>
      <w:r w:rsidRPr="00A27FDC">
        <w:t>analyze the performance of quartz materials in oil-water separation</w:t>
      </w:r>
      <w:r>
        <w:t>.</w:t>
      </w:r>
    </w:p>
    <w:p w14:paraId="43573E13" w14:textId="77777777" w:rsidR="00A27FDC" w:rsidRDefault="00A27FDC">
      <w:pPr>
        <w:ind w:firstLine="202"/>
      </w:pPr>
    </w:p>
    <w:p w14:paraId="64490A21" w14:textId="1B41BD11" w:rsidR="00A27FDC" w:rsidRDefault="00FC656A" w:rsidP="00A27FDC">
      <w:pPr>
        <w:ind w:firstLine="202"/>
      </w:pPr>
      <w:r w:rsidRPr="00FC656A">
        <w:t>Eq. (1)</w:t>
      </w:r>
      <w:r w:rsidRPr="00FC656A">
        <w:t xml:space="preserve"> indicates the</w:t>
      </w:r>
      <w:r>
        <w:rPr>
          <w:b/>
          <w:bCs/>
        </w:rPr>
        <w:t xml:space="preserve"> </w:t>
      </w:r>
      <w:r w:rsidR="00A27FDC" w:rsidRPr="00A27FDC">
        <w:rPr>
          <w:b/>
          <w:bCs/>
        </w:rPr>
        <w:t>Oil Rejection Efficiency (ORE)</w:t>
      </w:r>
      <w:r>
        <w:rPr>
          <w:b/>
          <w:bCs/>
        </w:rPr>
        <w:t>, t</w:t>
      </w:r>
      <w:r w:rsidR="00A27FDC" w:rsidRPr="00A27FDC">
        <w:t>his model measures the quartz material's ability to reduce oil content after treatment</w:t>
      </w:r>
      <w:r>
        <w:t xml:space="preserve">, where </w:t>
      </w:r>
      <m:oMath>
        <m:sSub>
          <m:sSubPr>
            <m:ctrlPr>
              <w:rPr>
                <w:rFonts w:ascii="Cambria Math" w:hAnsi="Cambria Math"/>
                <w:i/>
              </w:rPr>
            </m:ctrlPr>
          </m:sSubPr>
          <m:e>
            <m:r>
              <w:rPr>
                <w:rFonts w:ascii="Cambria Math" w:hAnsi="Cambria Math"/>
              </w:rPr>
              <m:t>C</m:t>
            </m:r>
          </m:e>
          <m:sub>
            <m:r>
              <w:rPr>
                <w:rFonts w:ascii="Cambria Math" w:hAnsi="Cambria Math"/>
              </w:rPr>
              <m:t>initial</m:t>
            </m:r>
          </m:sub>
        </m:sSub>
      </m:oMath>
      <w:r>
        <w:t xml:space="preserve"> is oil and grease </w:t>
      </w:r>
      <w:r w:rsidRPr="00FC656A">
        <w:t xml:space="preserve">concentration in the feed water </w:t>
      </w:r>
      <w:r>
        <w:t xml:space="preserve">(mg/L) and </w:t>
      </w:r>
      <m:oMath>
        <m:sSub>
          <m:sSubPr>
            <m:ctrlPr>
              <w:rPr>
                <w:rFonts w:ascii="Cambria Math" w:hAnsi="Cambria Math"/>
                <w:i/>
              </w:rPr>
            </m:ctrlPr>
          </m:sSubPr>
          <m:e>
            <m:r>
              <w:rPr>
                <w:rFonts w:ascii="Cambria Math" w:hAnsi="Cambria Math"/>
              </w:rPr>
              <m:t>C</m:t>
            </m:r>
          </m:e>
          <m:sub>
            <m:r>
              <w:rPr>
                <w:rFonts w:ascii="Cambria Math" w:hAnsi="Cambria Math"/>
              </w:rPr>
              <m:t>final</m:t>
            </m:r>
          </m:sub>
        </m:sSub>
      </m:oMath>
      <w:r>
        <w:t xml:space="preserve"> represents the </w:t>
      </w:r>
      <w:r w:rsidRPr="00FC656A">
        <w:t>Oil and grease concentration in the treated water</w:t>
      </w:r>
      <w:r>
        <w:t xml:space="preserve"> </w:t>
      </w:r>
      <w:r>
        <w:t>(mg/L)</w:t>
      </w:r>
      <w:r>
        <w:t>.</w:t>
      </w:r>
    </w:p>
    <w:p w14:paraId="016533B5" w14:textId="77777777" w:rsidR="00A27FDC" w:rsidRDefault="00A27FDC" w:rsidP="00A27FDC">
      <w:pPr>
        <w:ind w:firstLine="202"/>
      </w:pPr>
    </w:p>
    <w:p w14:paraId="3B3DFAAA" w14:textId="220C9632" w:rsidR="00A27FDC" w:rsidRDefault="00A27FDC" w:rsidP="009477DD">
      <w:pPr>
        <w:ind w:firstLine="202"/>
        <w:jc w:val="center"/>
      </w:pPr>
      <m:oMath>
        <m:r>
          <w:rPr>
            <w:rFonts w:ascii="Cambria Math" w:hAnsi="Cambria Math"/>
          </w:rPr>
          <m:t>ORE</m:t>
        </m:r>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initial</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final</m:t>
                </m:r>
              </m:sub>
            </m:sSub>
          </m:num>
          <m:den>
            <m:sSub>
              <m:sSubPr>
                <m:ctrlPr>
                  <w:rPr>
                    <w:rFonts w:ascii="Cambria Math" w:hAnsi="Cambria Math"/>
                    <w:i/>
                  </w:rPr>
                </m:ctrlPr>
              </m:sSubPr>
              <m:e>
                <m:r>
                  <w:rPr>
                    <w:rFonts w:ascii="Cambria Math" w:hAnsi="Cambria Math"/>
                  </w:rPr>
                  <m:t>C</m:t>
                </m:r>
              </m:e>
              <m:sub>
                <m:r>
                  <w:rPr>
                    <w:rFonts w:ascii="Cambria Math" w:hAnsi="Cambria Math"/>
                  </w:rPr>
                  <m:t>initial</m:t>
                </m:r>
              </m:sub>
            </m:sSub>
          </m:den>
        </m:f>
        <m:r>
          <w:rPr>
            <w:rFonts w:ascii="Cambria Math" w:hAnsi="Cambria Math"/>
          </w:rPr>
          <m:t>×100</m:t>
        </m:r>
      </m:oMath>
      <w:r w:rsidR="009477DD">
        <w:t xml:space="preserve"> </w:t>
      </w:r>
      <w:r w:rsidR="009477DD">
        <w:tab/>
      </w:r>
      <w:r w:rsidR="009477DD">
        <w:tab/>
        <w:t>(1)</w:t>
      </w:r>
    </w:p>
    <w:p w14:paraId="296676DE" w14:textId="77777777" w:rsidR="00797607" w:rsidRDefault="00797607" w:rsidP="00FC656A">
      <w:pPr>
        <w:ind w:firstLine="202"/>
        <w:jc w:val="center"/>
      </w:pPr>
    </w:p>
    <w:p w14:paraId="6BD31971" w14:textId="3CD2DEE0" w:rsidR="00797607" w:rsidRPr="00797607" w:rsidRDefault="00797607" w:rsidP="00797607">
      <w:pPr>
        <w:ind w:firstLine="202"/>
        <w:rPr>
          <w:b/>
          <w:bCs/>
          <w:lang w:val="en-ZA"/>
        </w:rPr>
      </w:pPr>
      <w:r w:rsidRPr="00FC656A">
        <w:lastRenderedPageBreak/>
        <w:t>Eq. (</w:t>
      </w:r>
      <w:r>
        <w:t>2</w:t>
      </w:r>
      <w:r w:rsidRPr="00FC656A">
        <w:t>)</w:t>
      </w:r>
      <w:r>
        <w:t xml:space="preserve"> represents the </w:t>
      </w:r>
      <w:r w:rsidRPr="00797607">
        <w:rPr>
          <w:b/>
          <w:bCs/>
          <w:lang w:val="en-ZA"/>
        </w:rPr>
        <w:t>Surface Wettability Contribution (SWC)</w:t>
      </w:r>
      <w:r>
        <w:rPr>
          <w:b/>
          <w:bCs/>
          <w:lang w:val="en-ZA"/>
        </w:rPr>
        <w:t xml:space="preserve">, </w:t>
      </w:r>
      <w:r>
        <w:rPr>
          <w:lang w:val="en-ZA"/>
        </w:rPr>
        <w:t>t</w:t>
      </w:r>
      <w:r w:rsidRPr="00797607">
        <w:rPr>
          <w:lang w:val="en-ZA"/>
        </w:rPr>
        <w:t>his model evaluates the contribution of surface wettability to the oil rejection process, accounting for the number of coatings</w:t>
      </w:r>
      <w:r w:rsidR="009477DD">
        <w:rPr>
          <w:lang w:val="en-ZA"/>
        </w:rPr>
        <w:t xml:space="preserve">, where </w:t>
      </w:r>
      <m:oMath>
        <m:r>
          <w:rPr>
            <w:rFonts w:ascii="Cambria Math" w:hAnsi="Cambria Math"/>
          </w:rPr>
          <m:t>n</m:t>
        </m:r>
      </m:oMath>
      <w:r w:rsidR="009477DD">
        <w:t xml:space="preserve"> is the n</w:t>
      </w:r>
      <w:r w:rsidR="009477DD" w:rsidRPr="009477DD">
        <w:t>umber of hydrophobic nanoparticle coatings applied to the quartz material.</w:t>
      </w:r>
    </w:p>
    <w:p w14:paraId="79360FF0" w14:textId="77777777" w:rsidR="00797607" w:rsidRPr="00797607" w:rsidRDefault="00797607" w:rsidP="00797607">
      <w:pPr>
        <w:ind w:firstLine="202"/>
        <w:rPr>
          <w:lang w:val="en-ZA"/>
        </w:rPr>
      </w:pPr>
    </w:p>
    <w:p w14:paraId="09335194" w14:textId="789C95E4" w:rsidR="00A27FDC" w:rsidRDefault="00797607" w:rsidP="00797607">
      <w:pPr>
        <w:ind w:firstLine="202"/>
        <w:jc w:val="center"/>
      </w:pPr>
      <m:oMath>
        <m:r>
          <w:rPr>
            <w:rFonts w:ascii="Cambria Math" w:hAnsi="Cambria Math"/>
          </w:rPr>
          <m:t>SWC=</m:t>
        </m:r>
        <m:f>
          <m:fPr>
            <m:ctrlPr>
              <w:rPr>
                <w:rFonts w:ascii="Cambria Math" w:hAnsi="Cambria Math"/>
                <w:i/>
              </w:rPr>
            </m:ctrlPr>
          </m:fPr>
          <m:num>
            <m:r>
              <w:rPr>
                <w:rFonts w:ascii="Cambria Math" w:hAnsi="Cambria Math"/>
              </w:rPr>
              <m:t>ORE</m:t>
            </m:r>
            <m:d>
              <m:dPr>
                <m:ctrlPr>
                  <w:rPr>
                    <w:rFonts w:ascii="Cambria Math" w:hAnsi="Cambria Math"/>
                    <w:i/>
                  </w:rPr>
                </m:ctrlPr>
              </m:dPr>
              <m:e>
                <m:r>
                  <w:rPr>
                    <w:rFonts w:ascii="Cambria Math" w:hAnsi="Cambria Math"/>
                  </w:rPr>
                  <m:t>%</m:t>
                </m:r>
              </m:e>
            </m:d>
          </m:num>
          <m:den>
            <m:r>
              <w:rPr>
                <w:rFonts w:ascii="Cambria Math" w:hAnsi="Cambria Math"/>
              </w:rPr>
              <m:t>n</m:t>
            </m:r>
          </m:den>
        </m:f>
      </m:oMath>
      <w:r>
        <w:tab/>
      </w:r>
      <w:r>
        <w:tab/>
        <w:t>(2)</w:t>
      </w:r>
    </w:p>
    <w:p w14:paraId="2DCF82C0" w14:textId="77777777" w:rsidR="00A27FDC" w:rsidRDefault="00A27FDC" w:rsidP="00A27FDC">
      <w:pPr>
        <w:ind w:firstLine="202"/>
      </w:pPr>
    </w:p>
    <w:p w14:paraId="1899FDDA" w14:textId="3055389A" w:rsidR="009477DD" w:rsidRDefault="009477DD" w:rsidP="009477DD">
      <w:pPr>
        <w:ind w:firstLine="202"/>
        <w:rPr>
          <w:lang w:val="en-ZA"/>
        </w:rPr>
      </w:pPr>
      <w:r w:rsidRPr="00FC656A">
        <w:t>Eq. (</w:t>
      </w:r>
      <w:r>
        <w:t>3</w:t>
      </w:r>
      <w:r w:rsidRPr="00FC656A">
        <w:t>)</w:t>
      </w:r>
      <w:r>
        <w:t xml:space="preserve"> </w:t>
      </w:r>
      <w:r>
        <w:t>indicates</w:t>
      </w:r>
      <w:r>
        <w:t xml:space="preserve"> the </w:t>
      </w:r>
      <w:r w:rsidRPr="009477DD">
        <w:rPr>
          <w:b/>
          <w:bCs/>
          <w:lang w:val="en-ZA"/>
        </w:rPr>
        <w:t>Separation Performance Index (SPI)</w:t>
      </w:r>
      <w:r>
        <w:rPr>
          <w:b/>
          <w:bCs/>
          <w:lang w:val="en-ZA"/>
        </w:rPr>
        <w:t xml:space="preserve">, </w:t>
      </w:r>
      <w:r>
        <w:rPr>
          <w:lang w:val="en-ZA"/>
        </w:rPr>
        <w:t>t</w:t>
      </w:r>
      <w:r w:rsidRPr="009477DD">
        <w:rPr>
          <w:lang w:val="en-ZA"/>
        </w:rPr>
        <w:t>he SPI assesses the material’s efficiency in separating water from the oil-water mixture, incorporating permeate volume and feed concentration</w:t>
      </w:r>
      <w:r>
        <w:rPr>
          <w:lang w:val="en-ZA"/>
        </w:rPr>
        <w:t xml:space="preserve">. Where </w:t>
      </w:r>
      <m:oMath>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Clean water</m:t>
            </m:r>
          </m:sub>
        </m:sSub>
      </m:oMath>
      <w:r>
        <w:rPr>
          <w:lang w:val="en-ZA"/>
        </w:rPr>
        <w:t xml:space="preserve"> is the </w:t>
      </w:r>
      <w:r w:rsidRPr="009477DD">
        <w:t xml:space="preserve">Volume of water separated </w:t>
      </w:r>
      <w:r>
        <w:t xml:space="preserve">(L) and </w:t>
      </w:r>
      <m:oMath>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total feed</m:t>
            </m:r>
          </m:sub>
        </m:sSub>
      </m:oMath>
      <w:r>
        <w:rPr>
          <w:lang w:val="en-ZA"/>
        </w:rPr>
        <w:t xml:space="preserve"> is the </w:t>
      </w:r>
      <w:r>
        <w:t>t</w:t>
      </w:r>
      <w:r w:rsidRPr="009477DD">
        <w:t>otal volume of the oil-water feed</w:t>
      </w:r>
      <w:r>
        <w:t xml:space="preserve"> </w:t>
      </w:r>
      <w:r>
        <w:t>(L)</w:t>
      </w:r>
      <w:r>
        <w:t xml:space="preserve">. </w:t>
      </w:r>
    </w:p>
    <w:p w14:paraId="47A2E1DA" w14:textId="77777777" w:rsidR="009477DD" w:rsidRDefault="009477DD" w:rsidP="009477DD">
      <w:pPr>
        <w:ind w:firstLine="202"/>
        <w:rPr>
          <w:lang w:val="en-ZA"/>
        </w:rPr>
      </w:pPr>
    </w:p>
    <w:p w14:paraId="1CCD887E" w14:textId="2A1D1643" w:rsidR="009477DD" w:rsidRDefault="009477DD" w:rsidP="009477DD">
      <w:pPr>
        <w:ind w:firstLine="202"/>
        <w:jc w:val="center"/>
        <w:rPr>
          <w:lang w:val="en-ZA"/>
        </w:rPr>
      </w:pPr>
      <m:oMath>
        <m:r>
          <w:rPr>
            <w:rFonts w:ascii="Cambria Math" w:hAnsi="Cambria Math"/>
            <w:lang w:val="en-ZA"/>
          </w:rPr>
          <m:t>SPI=</m:t>
        </m:r>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Clean water</m:t>
                </m:r>
              </m:sub>
            </m:sSub>
          </m:num>
          <m:den>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total feed</m:t>
                </m:r>
              </m:sub>
            </m:sSub>
          </m:den>
        </m:f>
        <m:r>
          <w:rPr>
            <w:rFonts w:ascii="Cambria Math" w:hAnsi="Cambria Math"/>
            <w:lang w:val="en-ZA"/>
          </w:rPr>
          <m:t>×OER</m:t>
        </m:r>
      </m:oMath>
      <w:r>
        <w:rPr>
          <w:lang w:val="en-ZA"/>
        </w:rPr>
        <w:tab/>
        <w:t>(3)</w:t>
      </w:r>
    </w:p>
    <w:p w14:paraId="5BF27760" w14:textId="77777777" w:rsidR="009477DD" w:rsidRDefault="009477DD" w:rsidP="009477DD">
      <w:pPr>
        <w:ind w:firstLine="202"/>
        <w:jc w:val="center"/>
        <w:rPr>
          <w:lang w:val="en-ZA"/>
        </w:rPr>
      </w:pPr>
    </w:p>
    <w:p w14:paraId="0C65238D" w14:textId="29A06533" w:rsidR="009477DD" w:rsidRDefault="009477DD" w:rsidP="009477DD">
      <w:pPr>
        <w:ind w:firstLine="202"/>
        <w:rPr>
          <w:lang w:val="en-ZA"/>
        </w:rPr>
      </w:pPr>
      <w:r w:rsidRPr="00FC656A">
        <w:t>Eq. (</w:t>
      </w:r>
      <w:r>
        <w:t>4</w:t>
      </w:r>
      <w:r w:rsidRPr="00FC656A">
        <w:t>)</w:t>
      </w:r>
      <w:r>
        <w:t xml:space="preserve"> </w:t>
      </w:r>
      <w:r>
        <w:t>shows</w:t>
      </w:r>
      <w:r>
        <w:t xml:space="preserve"> the </w:t>
      </w:r>
      <w:r w:rsidRPr="009477DD">
        <w:rPr>
          <w:b/>
          <w:bCs/>
          <w:lang w:val="en-ZA"/>
        </w:rPr>
        <w:t>Nanoparticle Coverage Consistency (NCC)</w:t>
      </w:r>
      <w:r>
        <w:rPr>
          <w:b/>
          <w:bCs/>
          <w:lang w:val="en-ZA"/>
        </w:rPr>
        <w:t xml:space="preserve">, </w:t>
      </w:r>
      <w:r w:rsidRPr="009477DD">
        <w:rPr>
          <w:lang w:val="en-ZA"/>
        </w:rPr>
        <w:t>t</w:t>
      </w:r>
      <w:r w:rsidRPr="009477DD">
        <w:rPr>
          <w:lang w:val="en-ZA"/>
        </w:rPr>
        <w:t>o assess the uniformity of nanoparticle coating on the quartz surface, th</w:t>
      </w:r>
      <w:r>
        <w:rPr>
          <w:lang w:val="en-ZA"/>
        </w:rPr>
        <w:t>is</w:t>
      </w:r>
      <w:r w:rsidRPr="009477DD">
        <w:rPr>
          <w:lang w:val="en-ZA"/>
        </w:rPr>
        <w:t xml:space="preserve"> equation </w:t>
      </w:r>
      <w:r>
        <w:rPr>
          <w:lang w:val="en-ZA"/>
        </w:rPr>
        <w:t>was developed</w:t>
      </w:r>
      <w:r w:rsidRPr="009477DD">
        <w:rPr>
          <w:lang w:val="en-ZA"/>
        </w:rPr>
        <w:t xml:space="preserve"> based on SEM image data</w:t>
      </w:r>
      <w:r>
        <w:rPr>
          <w:lang w:val="en-ZA"/>
        </w:rPr>
        <w:t>.</w:t>
      </w:r>
      <w:r w:rsidR="000A0CE6">
        <w:rPr>
          <w:lang w:val="en-ZA"/>
        </w:rPr>
        <w:t xml:space="preserve"> Where </w:t>
      </w:r>
      <m:oMath>
        <m:sSub>
          <m:sSubPr>
            <m:ctrlPr>
              <w:rPr>
                <w:rFonts w:ascii="Cambria Math" w:hAnsi="Cambria Math"/>
                <w:i/>
                <w:lang w:val="en-ZA"/>
              </w:rPr>
            </m:ctrlPr>
          </m:sSubPr>
          <m:e>
            <m:r>
              <w:rPr>
                <w:rFonts w:ascii="Cambria Math" w:hAnsi="Cambria Math"/>
                <w:lang w:val="en-ZA"/>
              </w:rPr>
              <m:t>σ</m:t>
            </m:r>
          </m:e>
          <m:sub>
            <m:r>
              <w:rPr>
                <w:rFonts w:ascii="Cambria Math" w:hAnsi="Cambria Math"/>
                <w:lang w:val="en-ZA"/>
              </w:rPr>
              <m:t>s</m:t>
            </m:r>
          </m:sub>
        </m:sSub>
      </m:oMath>
      <w:r w:rsidR="000A0CE6">
        <w:rPr>
          <w:lang w:val="en-ZA"/>
        </w:rPr>
        <w:t xml:space="preserve"> is </w:t>
      </w:r>
      <w:r w:rsidR="000A0CE6">
        <w:t>s</w:t>
      </w:r>
      <w:r w:rsidR="000A0CE6" w:rsidRPr="000A0CE6">
        <w:t>tandard deviation of inter-particle distances</w:t>
      </w:r>
      <w:r w:rsidR="000A0CE6">
        <w:t xml:space="preserve"> (µm) and </w:t>
      </w:r>
      <m:oMath>
        <m:sSub>
          <m:sSubPr>
            <m:ctrlPr>
              <w:rPr>
                <w:rFonts w:ascii="Cambria Math" w:hAnsi="Cambria Math"/>
                <w:i/>
                <w:lang w:val="en-ZA"/>
              </w:rPr>
            </m:ctrlPr>
          </m:sSubPr>
          <m:e>
            <m:r>
              <w:rPr>
                <w:rFonts w:ascii="Cambria Math" w:hAnsi="Cambria Math"/>
                <w:lang w:val="en-ZA"/>
              </w:rPr>
              <m:t>µ</m:t>
            </m:r>
          </m:e>
          <m:sub>
            <m:r>
              <w:rPr>
                <w:rFonts w:ascii="Cambria Math" w:hAnsi="Cambria Math"/>
                <w:lang w:val="en-ZA"/>
              </w:rPr>
              <m:t>s</m:t>
            </m:r>
          </m:sub>
        </m:sSub>
      </m:oMath>
      <w:r w:rsidR="000A0CE6">
        <w:rPr>
          <w:lang w:val="en-ZA"/>
        </w:rPr>
        <w:t xml:space="preserve"> is </w:t>
      </w:r>
      <w:r w:rsidR="000A0CE6">
        <w:t>m</w:t>
      </w:r>
      <w:r w:rsidR="000A0CE6" w:rsidRPr="000A0CE6">
        <w:t>ean inter-particle distance</w:t>
      </w:r>
      <w:r w:rsidR="000A0CE6">
        <w:t xml:space="preserve"> </w:t>
      </w:r>
      <w:r w:rsidR="000A0CE6">
        <w:t>(µm)</w:t>
      </w:r>
      <w:r w:rsidR="000A0CE6">
        <w:t xml:space="preserve">. </w:t>
      </w:r>
    </w:p>
    <w:p w14:paraId="377443B4" w14:textId="77777777" w:rsidR="009477DD" w:rsidRDefault="009477DD" w:rsidP="009477DD">
      <w:pPr>
        <w:ind w:firstLine="202"/>
        <w:rPr>
          <w:lang w:val="en-ZA"/>
        </w:rPr>
      </w:pPr>
    </w:p>
    <w:p w14:paraId="3D3D5B03" w14:textId="7273D220" w:rsidR="009477DD" w:rsidRPr="009477DD" w:rsidRDefault="009477DD" w:rsidP="000A0CE6">
      <w:pPr>
        <w:ind w:firstLine="202"/>
        <w:jc w:val="center"/>
        <w:rPr>
          <w:lang w:val="en-ZA"/>
        </w:rPr>
      </w:pPr>
      <m:oMath>
        <m:r>
          <w:rPr>
            <w:rFonts w:ascii="Cambria Math" w:hAnsi="Cambria Math"/>
            <w:lang w:val="en-ZA"/>
          </w:rPr>
          <m:t>NCC=1-</m:t>
        </m:r>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σ</m:t>
                </m:r>
              </m:e>
              <m:sub>
                <m:r>
                  <w:rPr>
                    <w:rFonts w:ascii="Cambria Math" w:hAnsi="Cambria Math"/>
                    <w:lang w:val="en-ZA"/>
                  </w:rPr>
                  <m:t>s</m:t>
                </m:r>
              </m:sub>
            </m:sSub>
          </m:num>
          <m:den>
            <m:sSub>
              <m:sSubPr>
                <m:ctrlPr>
                  <w:rPr>
                    <w:rFonts w:ascii="Cambria Math" w:hAnsi="Cambria Math"/>
                    <w:i/>
                    <w:lang w:val="en-ZA"/>
                  </w:rPr>
                </m:ctrlPr>
              </m:sSubPr>
              <m:e>
                <m:r>
                  <w:rPr>
                    <w:rFonts w:ascii="Cambria Math" w:hAnsi="Cambria Math"/>
                    <w:lang w:val="en-ZA"/>
                  </w:rPr>
                  <m:t>µ</m:t>
                </m:r>
              </m:e>
              <m:sub>
                <m:r>
                  <w:rPr>
                    <w:rFonts w:ascii="Cambria Math" w:hAnsi="Cambria Math"/>
                    <w:lang w:val="en-ZA"/>
                  </w:rPr>
                  <m:t>s</m:t>
                </m:r>
              </m:sub>
            </m:sSub>
          </m:den>
        </m:f>
      </m:oMath>
      <w:r w:rsidR="000A0CE6">
        <w:rPr>
          <w:lang w:val="en-ZA"/>
        </w:rPr>
        <w:tab/>
      </w:r>
      <w:r w:rsidR="000A0CE6">
        <w:rPr>
          <w:lang w:val="en-ZA"/>
        </w:rPr>
        <w:tab/>
        <w:t>(4)</w:t>
      </w:r>
    </w:p>
    <w:p w14:paraId="75C5F485" w14:textId="1F119238" w:rsidR="009477DD" w:rsidRPr="009477DD" w:rsidRDefault="009477DD" w:rsidP="009477DD">
      <w:pPr>
        <w:ind w:firstLine="202"/>
        <w:rPr>
          <w:lang w:val="en-ZA"/>
        </w:rPr>
      </w:pPr>
    </w:p>
    <w:p w14:paraId="5256C47B" w14:textId="5C069BAF" w:rsidR="000A0CE6" w:rsidRPr="000A0CE6" w:rsidRDefault="000A0CE6" w:rsidP="000A0CE6">
      <w:pPr>
        <w:ind w:firstLine="202"/>
        <w:rPr>
          <w:b/>
          <w:bCs/>
          <w:lang w:val="en-ZA"/>
        </w:rPr>
      </w:pPr>
      <w:r w:rsidRPr="00FC656A">
        <w:t>Eq. (</w:t>
      </w:r>
      <w:r>
        <w:t>5</w:t>
      </w:r>
      <w:r w:rsidRPr="00FC656A">
        <w:t>)</w:t>
      </w:r>
      <w:r>
        <w:t xml:space="preserve"> shows the</w:t>
      </w:r>
      <w:r>
        <w:t xml:space="preserve"> </w:t>
      </w:r>
      <w:r w:rsidRPr="000A0CE6">
        <w:rPr>
          <w:b/>
          <w:bCs/>
          <w:lang w:val="en-ZA"/>
        </w:rPr>
        <w:t>Surface Morphology Factor (SMF)</w:t>
      </w:r>
      <w:r>
        <w:rPr>
          <w:b/>
          <w:bCs/>
          <w:lang w:val="en-ZA"/>
        </w:rPr>
        <w:t xml:space="preserve">, </w:t>
      </w:r>
      <w:r>
        <w:rPr>
          <w:lang w:val="en-ZA"/>
        </w:rPr>
        <w:t>where s</w:t>
      </w:r>
      <w:r w:rsidRPr="000A0CE6">
        <w:rPr>
          <w:lang w:val="en-ZA"/>
        </w:rPr>
        <w:t>urface roughness plays a role in oil separation. The SMF quantifies the relationship between roughness and effective surface area</w:t>
      </w:r>
      <w:r>
        <w:rPr>
          <w:lang w:val="en-ZA"/>
        </w:rPr>
        <w:t xml:space="preserve">, where </w:t>
      </w:r>
      <m:oMath>
        <m:sSub>
          <m:sSubPr>
            <m:ctrlPr>
              <w:rPr>
                <w:rFonts w:ascii="Cambria Math" w:hAnsi="Cambria Math"/>
                <w:i/>
              </w:rPr>
            </m:ctrlPr>
          </m:sSubPr>
          <m:e>
            <m:r>
              <w:rPr>
                <w:rFonts w:ascii="Cambria Math" w:hAnsi="Cambria Math"/>
              </w:rPr>
              <m:t>A</m:t>
            </m:r>
          </m:e>
          <m:sub>
            <m:r>
              <w:rPr>
                <w:rFonts w:ascii="Cambria Math" w:hAnsi="Cambria Math"/>
              </w:rPr>
              <m:t>actual</m:t>
            </m:r>
          </m:sub>
        </m:sSub>
      </m:oMath>
      <w:r>
        <w:t xml:space="preserve"> is the m</w:t>
      </w:r>
      <w:r w:rsidRPr="000A0CE6">
        <w:t>easured surface area, considering roughness</w:t>
      </w:r>
      <w:r>
        <w:t xml:space="preserve"> and </w:t>
      </w:r>
      <m:oMath>
        <m:sSub>
          <m:sSubPr>
            <m:ctrlPr>
              <w:rPr>
                <w:rFonts w:ascii="Cambria Math" w:hAnsi="Cambria Math"/>
                <w:i/>
              </w:rPr>
            </m:ctrlPr>
          </m:sSubPr>
          <m:e>
            <m:r>
              <w:rPr>
                <w:rFonts w:ascii="Cambria Math" w:hAnsi="Cambria Math"/>
              </w:rPr>
              <m:t>A</m:t>
            </m:r>
          </m:e>
          <m:sub>
            <m:r>
              <w:rPr>
                <w:rFonts w:ascii="Cambria Math" w:hAnsi="Cambria Math"/>
              </w:rPr>
              <m:t>flat</m:t>
            </m:r>
          </m:sub>
        </m:sSub>
      </m:oMath>
      <w:r>
        <w:t xml:space="preserve"> indicates the p</w:t>
      </w:r>
      <w:r w:rsidRPr="000A0CE6">
        <w:t>rojected flat surface area.</w:t>
      </w:r>
    </w:p>
    <w:p w14:paraId="4E4218DB" w14:textId="65BC7FAB" w:rsidR="00A27FDC" w:rsidRPr="009477DD" w:rsidRDefault="00A27FDC" w:rsidP="00A27FDC">
      <w:pPr>
        <w:ind w:firstLine="202"/>
        <w:rPr>
          <w:lang w:val="en-ZA"/>
        </w:rPr>
      </w:pPr>
    </w:p>
    <w:p w14:paraId="69E57860" w14:textId="7EB9864C" w:rsidR="00A27FDC" w:rsidRDefault="000A0CE6" w:rsidP="000A0CE6">
      <w:pPr>
        <w:ind w:firstLine="202"/>
        <w:jc w:val="center"/>
      </w:pPr>
      <m:oMath>
        <m:r>
          <w:rPr>
            <w:rFonts w:ascii="Cambria Math" w:hAnsi="Cambria Math"/>
          </w:rPr>
          <m:t>SMF=</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actual</m:t>
                </m:r>
              </m:sub>
            </m:sSub>
          </m:num>
          <m:den>
            <m:sSub>
              <m:sSubPr>
                <m:ctrlPr>
                  <w:rPr>
                    <w:rFonts w:ascii="Cambria Math" w:hAnsi="Cambria Math"/>
                    <w:i/>
                  </w:rPr>
                </m:ctrlPr>
              </m:sSubPr>
              <m:e>
                <m:r>
                  <w:rPr>
                    <w:rFonts w:ascii="Cambria Math" w:hAnsi="Cambria Math"/>
                  </w:rPr>
                  <m:t>A</m:t>
                </m:r>
              </m:e>
              <m:sub>
                <m:r>
                  <w:rPr>
                    <w:rFonts w:ascii="Cambria Math" w:hAnsi="Cambria Math"/>
                  </w:rPr>
                  <m:t>flat</m:t>
                </m:r>
              </m:sub>
            </m:sSub>
          </m:den>
        </m:f>
      </m:oMath>
      <w:r>
        <w:tab/>
      </w:r>
      <w:r>
        <w:tab/>
        <w:t>(5)</w:t>
      </w:r>
    </w:p>
    <w:p w14:paraId="628E6334" w14:textId="77777777" w:rsidR="000A0CE6" w:rsidRDefault="000A0CE6" w:rsidP="000A0CE6">
      <w:pPr>
        <w:ind w:firstLine="202"/>
        <w:jc w:val="center"/>
      </w:pPr>
    </w:p>
    <w:p w14:paraId="4A5AE3A2" w14:textId="6A720E93" w:rsidR="000A0CE6" w:rsidRDefault="000A0CE6" w:rsidP="000A0CE6">
      <w:pPr>
        <w:ind w:firstLine="202"/>
        <w:rPr>
          <w:lang w:val="en-ZA"/>
        </w:rPr>
      </w:pPr>
      <w:r w:rsidRPr="00FC656A">
        <w:t>Eq. (</w:t>
      </w:r>
      <w:r>
        <w:t>6</w:t>
      </w:r>
      <w:r w:rsidRPr="00FC656A">
        <w:t>)</w:t>
      </w:r>
      <w:r>
        <w:t xml:space="preserve"> </w:t>
      </w:r>
      <w:r>
        <w:t>represents</w:t>
      </w:r>
      <w:r>
        <w:t xml:space="preserve"> the </w:t>
      </w:r>
      <w:r w:rsidRPr="000A0CE6">
        <w:rPr>
          <w:b/>
          <w:bCs/>
          <w:lang w:val="en-ZA"/>
        </w:rPr>
        <w:t>Oil Removal Capacity (ORC)</w:t>
      </w:r>
      <w:r>
        <w:rPr>
          <w:b/>
          <w:bCs/>
          <w:lang w:val="en-ZA"/>
        </w:rPr>
        <w:t xml:space="preserve">, </w:t>
      </w:r>
      <w:r w:rsidRPr="000A0CE6">
        <w:rPr>
          <w:lang w:val="en-ZA"/>
        </w:rPr>
        <w:t>t</w:t>
      </w:r>
      <w:r w:rsidRPr="000A0CE6">
        <w:rPr>
          <w:lang w:val="en-ZA"/>
        </w:rPr>
        <w:t>his model calculates the amount of oil removed by the material per unit mass or volume of quartz</w:t>
      </w:r>
      <w:r>
        <w:rPr>
          <w:lang w:val="en-ZA"/>
        </w:rPr>
        <w:t xml:space="preserve">, where </w:t>
      </w:r>
      <m:oMath>
        <m:sSub>
          <m:sSubPr>
            <m:ctrlPr>
              <w:rPr>
                <w:rFonts w:ascii="Cambria Math" w:hAnsi="Cambria Math"/>
                <w:i/>
                <w:lang w:val="en-ZA"/>
              </w:rPr>
            </m:ctrlPr>
          </m:sSubPr>
          <m:e>
            <m:r>
              <w:rPr>
                <w:rFonts w:ascii="Cambria Math" w:hAnsi="Cambria Math"/>
                <w:lang w:val="en-ZA"/>
              </w:rPr>
              <m:t>M</m:t>
            </m:r>
          </m:e>
          <m:sub>
            <m:r>
              <w:rPr>
                <w:rFonts w:ascii="Cambria Math" w:hAnsi="Cambria Math"/>
                <w:lang w:val="en-ZA"/>
              </w:rPr>
              <m:t xml:space="preserve">quartz </m:t>
            </m:r>
          </m:sub>
        </m:sSub>
      </m:oMath>
      <w:r>
        <w:rPr>
          <w:lang w:val="en-ZA"/>
        </w:rPr>
        <w:t xml:space="preserve"> is the </w:t>
      </w:r>
      <w:r>
        <w:t>m</w:t>
      </w:r>
      <w:r w:rsidRPr="000A0CE6">
        <w:t>ass of quartz material used</w:t>
      </w:r>
      <w:r>
        <w:t xml:space="preserve"> (g). </w:t>
      </w:r>
    </w:p>
    <w:p w14:paraId="10AD6886" w14:textId="77777777" w:rsidR="000A0CE6" w:rsidRDefault="000A0CE6" w:rsidP="000A0CE6">
      <w:pPr>
        <w:ind w:firstLine="202"/>
        <w:rPr>
          <w:lang w:val="en-ZA"/>
        </w:rPr>
      </w:pPr>
    </w:p>
    <w:p w14:paraId="098BC0DA" w14:textId="40DEE3E2" w:rsidR="000A0CE6" w:rsidRDefault="000A0CE6" w:rsidP="000A0CE6">
      <w:pPr>
        <w:ind w:firstLine="202"/>
        <w:jc w:val="center"/>
        <w:rPr>
          <w:lang w:val="en-ZA"/>
        </w:rPr>
      </w:pPr>
      <m:oMath>
        <m:r>
          <w:rPr>
            <w:rFonts w:ascii="Cambria Math" w:hAnsi="Cambria Math"/>
            <w:lang w:val="en-ZA"/>
          </w:rPr>
          <m:t>ORC=</m:t>
        </m:r>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initial</m:t>
                </m:r>
              </m:sub>
            </m:sSub>
            <m:r>
              <w:rPr>
                <w:rFonts w:ascii="Cambria Math" w:hAnsi="Cambria Math"/>
                <w:lang w:val="en-ZA"/>
              </w:rPr>
              <m:t>-</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final</m:t>
                </m:r>
              </m:sub>
            </m:sSub>
          </m:num>
          <m:den>
            <m:sSub>
              <m:sSubPr>
                <m:ctrlPr>
                  <w:rPr>
                    <w:rFonts w:ascii="Cambria Math" w:hAnsi="Cambria Math"/>
                    <w:i/>
                    <w:lang w:val="en-ZA"/>
                  </w:rPr>
                </m:ctrlPr>
              </m:sSubPr>
              <m:e>
                <m:r>
                  <w:rPr>
                    <w:rFonts w:ascii="Cambria Math" w:hAnsi="Cambria Math"/>
                    <w:lang w:val="en-ZA"/>
                  </w:rPr>
                  <m:t>M</m:t>
                </m:r>
              </m:e>
              <m:sub>
                <m:r>
                  <w:rPr>
                    <w:rFonts w:ascii="Cambria Math" w:hAnsi="Cambria Math"/>
                    <w:lang w:val="en-ZA"/>
                  </w:rPr>
                  <m:t xml:space="preserve">quartz </m:t>
                </m:r>
              </m:sub>
            </m:sSub>
          </m:den>
        </m:f>
      </m:oMath>
      <w:r>
        <w:rPr>
          <w:lang w:val="en-ZA"/>
        </w:rPr>
        <w:tab/>
      </w:r>
      <w:r>
        <w:rPr>
          <w:lang w:val="en-ZA"/>
        </w:rPr>
        <w:tab/>
        <w:t>(6)</w:t>
      </w:r>
    </w:p>
    <w:p w14:paraId="1C4D0122" w14:textId="77777777" w:rsidR="000A0CE6" w:rsidRDefault="000A0CE6" w:rsidP="000A0CE6">
      <w:pPr>
        <w:ind w:firstLine="202"/>
        <w:jc w:val="center"/>
        <w:rPr>
          <w:lang w:val="en-ZA"/>
        </w:rPr>
      </w:pPr>
    </w:p>
    <w:p w14:paraId="098FA38E" w14:textId="77777777" w:rsidR="000A0CE6" w:rsidRPr="000A0CE6" w:rsidRDefault="000A0CE6" w:rsidP="000A0CE6">
      <w:pPr>
        <w:ind w:firstLine="202"/>
        <w:rPr>
          <w:lang w:val="en-ZA"/>
        </w:rPr>
      </w:pPr>
      <w:r w:rsidRPr="000A0CE6">
        <w:rPr>
          <w:lang w:val="en-ZA"/>
        </w:rPr>
        <w:t>Using these models, the efficiency and performance metrics for each coating stage (raw, washed, first to fourth coatings) can be calculated. For example:</w:t>
      </w:r>
    </w:p>
    <w:p w14:paraId="6682453E" w14:textId="77777777" w:rsidR="000A0CE6" w:rsidRPr="000A0CE6" w:rsidRDefault="000A0CE6" w:rsidP="000A0CE6">
      <w:pPr>
        <w:numPr>
          <w:ilvl w:val="0"/>
          <w:numId w:val="6"/>
        </w:numPr>
        <w:rPr>
          <w:lang w:val="en-ZA"/>
        </w:rPr>
      </w:pPr>
      <w:r w:rsidRPr="000A0CE6">
        <w:rPr>
          <w:b/>
          <w:bCs/>
          <w:lang w:val="en-ZA"/>
        </w:rPr>
        <w:t>ORE and SWC</w:t>
      </w:r>
      <w:r w:rsidRPr="000A0CE6">
        <w:rPr>
          <w:lang w:val="en-ZA"/>
        </w:rPr>
        <w:t xml:space="preserve"> help determine the effectiveness of each coating.</w:t>
      </w:r>
    </w:p>
    <w:p w14:paraId="2EA74061" w14:textId="77777777" w:rsidR="000A0CE6" w:rsidRPr="000A0CE6" w:rsidRDefault="000A0CE6" w:rsidP="000A0CE6">
      <w:pPr>
        <w:numPr>
          <w:ilvl w:val="0"/>
          <w:numId w:val="6"/>
        </w:numPr>
        <w:rPr>
          <w:lang w:val="en-ZA"/>
        </w:rPr>
      </w:pPr>
      <w:r w:rsidRPr="000A0CE6">
        <w:rPr>
          <w:b/>
          <w:bCs/>
          <w:lang w:val="en-ZA"/>
        </w:rPr>
        <w:t>NCC and SMF</w:t>
      </w:r>
      <w:r w:rsidRPr="000A0CE6">
        <w:rPr>
          <w:lang w:val="en-ZA"/>
        </w:rPr>
        <w:t xml:space="preserve"> evaluate nanoparticle orientation and surface morphology from SEM data.</w:t>
      </w:r>
    </w:p>
    <w:p w14:paraId="615D8F72" w14:textId="77777777" w:rsidR="000A0CE6" w:rsidRPr="000A0CE6" w:rsidRDefault="000A0CE6" w:rsidP="000A0CE6">
      <w:pPr>
        <w:numPr>
          <w:ilvl w:val="0"/>
          <w:numId w:val="6"/>
        </w:numPr>
        <w:rPr>
          <w:lang w:val="en-ZA"/>
        </w:rPr>
      </w:pPr>
      <w:r w:rsidRPr="000A0CE6">
        <w:rPr>
          <w:b/>
          <w:bCs/>
          <w:lang w:val="en-ZA"/>
        </w:rPr>
        <w:t>SPI and ORC</w:t>
      </w:r>
      <w:r w:rsidRPr="000A0CE6">
        <w:rPr>
          <w:lang w:val="en-ZA"/>
        </w:rPr>
        <w:t xml:space="preserve"> provide insights into separation efficiency and the material's oil removal capacity.</w:t>
      </w:r>
    </w:p>
    <w:p w14:paraId="0E31F1FD" w14:textId="1BDB8855" w:rsidR="000A0CE6" w:rsidRPr="000A0CE6" w:rsidRDefault="000A0CE6" w:rsidP="000A0CE6">
      <w:pPr>
        <w:ind w:firstLine="202"/>
        <w:rPr>
          <w:lang w:val="en-ZA"/>
        </w:rPr>
      </w:pPr>
    </w:p>
    <w:p w14:paraId="1B164456" w14:textId="77777777" w:rsidR="00A27FDC" w:rsidRPr="00A27FDC" w:rsidRDefault="00A27FDC" w:rsidP="00A27FDC">
      <w:pPr>
        <w:ind w:firstLine="202"/>
        <w:rPr>
          <w:b/>
          <w:bCs/>
        </w:rPr>
      </w:pPr>
    </w:p>
    <w:p w14:paraId="387769D7" w14:textId="7DC22EA1" w:rsidR="00E85EEA" w:rsidRPr="00BF671B" w:rsidRDefault="00BF671B" w:rsidP="00BF671B">
      <w:pPr>
        <w:pStyle w:val="References"/>
        <w:rPr>
          <w:b/>
          <w:bCs/>
          <w:sz w:val="20"/>
          <w:szCs w:val="20"/>
        </w:rPr>
      </w:pPr>
      <w:bookmarkStart w:id="5" w:name="bookmark=id.1fob9te" w:colFirst="0" w:colLast="0"/>
      <w:bookmarkStart w:id="6" w:name="bookmark=id.3znysh7" w:colFirst="0" w:colLast="0"/>
      <w:bookmarkEnd w:id="5"/>
      <w:bookmarkEnd w:id="6"/>
      <w:r w:rsidRPr="00BF671B">
        <w:rPr>
          <w:b/>
          <w:bCs/>
          <w:sz w:val="20"/>
          <w:szCs w:val="20"/>
        </w:rPr>
        <w:t xml:space="preserve">RESULTS AND DISCUSSIONS </w:t>
      </w:r>
    </w:p>
    <w:p w14:paraId="582434B2" w14:textId="77777777" w:rsidR="00E85EEA" w:rsidRDefault="00E85EEA">
      <w:pPr>
        <w:pBdr>
          <w:top w:val="nil"/>
          <w:left w:val="nil"/>
          <w:bottom w:val="nil"/>
          <w:right w:val="nil"/>
          <w:between w:val="nil"/>
        </w:pBdr>
        <w:tabs>
          <w:tab w:val="right" w:pos="7100"/>
        </w:tabs>
        <w:spacing w:line="264" w:lineRule="auto"/>
        <w:rPr>
          <w:rFonts w:ascii="Arial" w:eastAsia="Arial" w:hAnsi="Arial" w:cs="Arial"/>
          <w:color w:val="000000"/>
          <w:sz w:val="18"/>
          <w:szCs w:val="18"/>
        </w:rPr>
      </w:pPr>
    </w:p>
    <w:p w14:paraId="00067778" w14:textId="15C57594" w:rsidR="00472F91" w:rsidRDefault="00CD4A0E" w:rsidP="00472F91">
      <w:pPr>
        <w:tabs>
          <w:tab w:val="left" w:pos="280"/>
        </w:tabs>
        <w:ind w:firstLine="204"/>
        <w:rPr>
          <w:rFonts w:ascii="Times New Roman" w:eastAsia="Times New Roman" w:hAnsi="Times New Roman" w:cs="Times New Roman"/>
        </w:rPr>
      </w:pPr>
      <w:bookmarkStart w:id="7" w:name="_Hlk187150700"/>
      <w:r>
        <w:rPr>
          <w:rFonts w:ascii="Times New Roman" w:eastAsia="Times New Roman" w:hAnsi="Times New Roman" w:cs="Times New Roman"/>
        </w:rPr>
        <w:t xml:space="preserve">The SEM </w:t>
      </w:r>
      <w:bookmarkEnd w:id="7"/>
      <w:r>
        <w:rPr>
          <w:rFonts w:ascii="Times New Roman" w:eastAsia="Times New Roman" w:hAnsi="Times New Roman" w:cs="Times New Roman"/>
        </w:rPr>
        <w:t xml:space="preserve">was used to investigate the surface morphology of quartz particles and the </w:t>
      </w:r>
      <w:r w:rsidRPr="00CD4A0E">
        <w:rPr>
          <w:rFonts w:ascii="Times New Roman" w:eastAsia="Times New Roman" w:hAnsi="Times New Roman" w:cs="Times New Roman"/>
        </w:rPr>
        <w:t>gravitational bed gravity-accelerated technique</w:t>
      </w:r>
      <w:r>
        <w:rPr>
          <w:rFonts w:ascii="Times New Roman" w:eastAsia="Times New Roman" w:hAnsi="Times New Roman" w:cs="Times New Roman"/>
        </w:rPr>
        <w:t xml:space="preserve"> was used to validate the miscrospopic results. The permeate quality was assessed using the  oil and grease analysis to test the water quality afer oil and water separation. </w:t>
      </w:r>
    </w:p>
    <w:p w14:paraId="5085CAB8" w14:textId="77777777" w:rsidR="00CD4A0E" w:rsidRDefault="00CD4A0E" w:rsidP="00CD4A0E">
      <w:pPr>
        <w:tabs>
          <w:tab w:val="left" w:pos="280"/>
        </w:tabs>
        <w:rPr>
          <w:rFonts w:ascii="Times New Roman" w:eastAsia="Times New Roman" w:hAnsi="Times New Roman" w:cs="Times New Roman"/>
        </w:rPr>
      </w:pPr>
    </w:p>
    <w:p w14:paraId="2ECF5874" w14:textId="038D882A" w:rsidR="00CD4A0E" w:rsidRPr="00CD4A0E" w:rsidRDefault="00CD4A0E" w:rsidP="00CD4A0E">
      <w:pPr>
        <w:tabs>
          <w:tab w:val="left" w:pos="280"/>
        </w:tabs>
        <w:rPr>
          <w:rFonts w:ascii="Times New Roman" w:eastAsia="Times New Roman" w:hAnsi="Times New Roman" w:cs="Times New Roman"/>
          <w:b/>
          <w:bCs/>
        </w:rPr>
      </w:pPr>
      <w:r w:rsidRPr="00CD4A0E">
        <w:rPr>
          <w:rFonts w:ascii="Times New Roman" w:eastAsia="Times New Roman" w:hAnsi="Times New Roman" w:cs="Times New Roman"/>
          <w:b/>
          <w:bCs/>
        </w:rPr>
        <w:t>3.1 SEM analysis</w:t>
      </w:r>
    </w:p>
    <w:p w14:paraId="00E3BC23" w14:textId="77777777" w:rsidR="00CD4A0E" w:rsidRDefault="00CD4A0E" w:rsidP="00CD4A0E">
      <w:pPr>
        <w:tabs>
          <w:tab w:val="left" w:pos="280"/>
        </w:tabs>
        <w:rPr>
          <w:rFonts w:ascii="Times New Roman" w:eastAsia="Times New Roman" w:hAnsi="Times New Roman" w:cs="Times New Roman"/>
        </w:rPr>
      </w:pPr>
    </w:p>
    <w:p w14:paraId="65D51FD9" w14:textId="2A40912A" w:rsidR="00121E02" w:rsidRDefault="00121E02" w:rsidP="00121E02">
      <w:pPr>
        <w:tabs>
          <w:tab w:val="left" w:pos="280"/>
        </w:tabs>
        <w:ind w:firstLine="204"/>
        <w:rPr>
          <w:rFonts w:ascii="Times New Roman" w:eastAsia="Times New Roman" w:hAnsi="Times New Roman" w:cs="Times New Roman"/>
        </w:rPr>
      </w:pPr>
      <w:r w:rsidRPr="00121E02">
        <w:rPr>
          <w:rFonts w:ascii="Times New Roman" w:eastAsia="Times New Roman" w:hAnsi="Times New Roman" w:cs="Times New Roman"/>
        </w:rPr>
        <w:t>Figures 4–9 below present the Scanning Electron Microscopy (SEM) results obtained during the analysis of quartz material. The images include the raw quartz (Figure 4), the quartz material after the washing process (Figure 5), and the surfaces coated with hydrophobic nanoparticles, progressing from the first coating (Figure 6) to the fourth coating (Figure 9). These results illustrate the changes in surface morphology at each stage of preparation and coating.</w:t>
      </w:r>
    </w:p>
    <w:p w14:paraId="1D161D0A" w14:textId="77777777" w:rsidR="00121E02" w:rsidRDefault="00121E02" w:rsidP="00CD4A0E">
      <w:pPr>
        <w:tabs>
          <w:tab w:val="left" w:pos="280"/>
        </w:tabs>
        <w:rPr>
          <w:rFonts w:ascii="Times New Roman" w:eastAsia="Times New Roman" w:hAnsi="Times New Roman" w:cs="Times New Roman"/>
        </w:rPr>
      </w:pPr>
    </w:p>
    <w:p w14:paraId="7AC79A53" w14:textId="7AB00BCE" w:rsidR="007B590D" w:rsidRDefault="00121E02" w:rsidP="00121E02">
      <w:pPr>
        <w:keepNext/>
        <w:tabs>
          <w:tab w:val="left" w:pos="280"/>
        </w:tabs>
        <w:jc w:val="center"/>
      </w:pPr>
      <w:r>
        <w:rPr>
          <w:noProof/>
        </w:rPr>
        <w:drawing>
          <wp:inline distT="0" distB="0" distL="0" distR="0" wp14:anchorId="4EC1C72F" wp14:editId="16695E76">
            <wp:extent cx="2897617" cy="2341418"/>
            <wp:effectExtent l="0" t="0" r="0" b="1905"/>
            <wp:docPr id="141182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21986" name=""/>
                    <pic:cNvPicPr/>
                  </pic:nvPicPr>
                  <pic:blipFill>
                    <a:blip r:embed="rId14"/>
                    <a:stretch>
                      <a:fillRect/>
                    </a:stretch>
                  </pic:blipFill>
                  <pic:spPr>
                    <a:xfrm>
                      <a:off x="0" y="0"/>
                      <a:ext cx="2899848" cy="2343221"/>
                    </a:xfrm>
                    <a:prstGeom prst="rect">
                      <a:avLst/>
                    </a:prstGeom>
                  </pic:spPr>
                </pic:pic>
              </a:graphicData>
            </a:graphic>
          </wp:inline>
        </w:drawing>
      </w:r>
    </w:p>
    <w:p w14:paraId="300022CB" w14:textId="77777777" w:rsidR="00212759" w:rsidRDefault="00212759" w:rsidP="007B590D">
      <w:pPr>
        <w:keepNext/>
        <w:tabs>
          <w:tab w:val="left" w:pos="280"/>
        </w:tabs>
        <w:jc w:val="center"/>
      </w:pPr>
    </w:p>
    <w:p w14:paraId="3583F3EE" w14:textId="118B6BED" w:rsidR="00CD4A0E" w:rsidRDefault="007B590D" w:rsidP="00CB5EF4">
      <w:pPr>
        <w:pStyle w:val="Caption"/>
        <w:jc w:val="center"/>
        <w:rPr>
          <w:rFonts w:ascii="Times New Roman" w:hAnsi="Times New Roman" w:cs="Times New Roman"/>
          <w:i w:val="0"/>
          <w:iCs w:val="0"/>
          <w:color w:val="auto"/>
          <w:sz w:val="20"/>
          <w:szCs w:val="20"/>
        </w:rPr>
      </w:pPr>
      <w:r w:rsidRPr="007B590D">
        <w:rPr>
          <w:rFonts w:ascii="Times New Roman" w:hAnsi="Times New Roman" w:cs="Times New Roman"/>
          <w:b/>
          <w:bCs/>
          <w:i w:val="0"/>
          <w:iCs w:val="0"/>
          <w:color w:val="auto"/>
          <w:sz w:val="20"/>
          <w:szCs w:val="20"/>
        </w:rPr>
        <w:t xml:space="preserve">Figure </w:t>
      </w:r>
      <w:r w:rsidRPr="007B590D">
        <w:rPr>
          <w:rFonts w:ascii="Times New Roman" w:hAnsi="Times New Roman" w:cs="Times New Roman"/>
          <w:b/>
          <w:bCs/>
          <w:i w:val="0"/>
          <w:iCs w:val="0"/>
          <w:color w:val="auto"/>
          <w:sz w:val="20"/>
          <w:szCs w:val="20"/>
        </w:rPr>
        <w:fldChar w:fldCharType="begin"/>
      </w:r>
      <w:r w:rsidRPr="007B590D">
        <w:rPr>
          <w:rFonts w:ascii="Times New Roman" w:hAnsi="Times New Roman" w:cs="Times New Roman"/>
          <w:b/>
          <w:bCs/>
          <w:i w:val="0"/>
          <w:iCs w:val="0"/>
          <w:color w:val="auto"/>
          <w:sz w:val="20"/>
          <w:szCs w:val="20"/>
        </w:rPr>
        <w:instrText xml:space="preserve"> SEQ Figure \* ARABIC </w:instrText>
      </w:r>
      <w:r w:rsidRPr="007B590D">
        <w:rPr>
          <w:rFonts w:ascii="Times New Roman" w:hAnsi="Times New Roman" w:cs="Times New Roman"/>
          <w:b/>
          <w:bCs/>
          <w:i w:val="0"/>
          <w:iCs w:val="0"/>
          <w:color w:val="auto"/>
          <w:sz w:val="20"/>
          <w:szCs w:val="20"/>
        </w:rPr>
        <w:fldChar w:fldCharType="separate"/>
      </w:r>
      <w:r w:rsidR="001B6C2E">
        <w:rPr>
          <w:rFonts w:ascii="Times New Roman" w:hAnsi="Times New Roman" w:cs="Times New Roman"/>
          <w:b/>
          <w:bCs/>
          <w:i w:val="0"/>
          <w:iCs w:val="0"/>
          <w:noProof/>
          <w:color w:val="auto"/>
          <w:sz w:val="20"/>
          <w:szCs w:val="20"/>
        </w:rPr>
        <w:t>4</w:t>
      </w:r>
      <w:r w:rsidRPr="007B590D">
        <w:rPr>
          <w:rFonts w:ascii="Times New Roman" w:hAnsi="Times New Roman" w:cs="Times New Roman"/>
          <w:b/>
          <w:bCs/>
          <w:i w:val="0"/>
          <w:iCs w:val="0"/>
          <w:color w:val="auto"/>
          <w:sz w:val="20"/>
          <w:szCs w:val="20"/>
        </w:rPr>
        <w:fldChar w:fldCharType="end"/>
      </w:r>
      <w:r w:rsidRPr="007B590D">
        <w:rPr>
          <w:rFonts w:ascii="Times New Roman" w:hAnsi="Times New Roman" w:cs="Times New Roman"/>
          <w:b/>
          <w:bCs/>
          <w:i w:val="0"/>
          <w:iCs w:val="0"/>
          <w:color w:val="auto"/>
          <w:sz w:val="20"/>
          <w:szCs w:val="20"/>
        </w:rPr>
        <w:t>.</w:t>
      </w:r>
      <w:r>
        <w:rPr>
          <w:rFonts w:ascii="Times New Roman" w:hAnsi="Times New Roman" w:cs="Times New Roman"/>
          <w:b/>
          <w:bCs/>
          <w:i w:val="0"/>
          <w:iCs w:val="0"/>
          <w:color w:val="auto"/>
          <w:sz w:val="20"/>
          <w:szCs w:val="20"/>
        </w:rPr>
        <w:t xml:space="preserve"> </w:t>
      </w:r>
      <w:r w:rsidR="00CB5EF4">
        <w:rPr>
          <w:rFonts w:ascii="Times New Roman" w:hAnsi="Times New Roman" w:cs="Times New Roman"/>
          <w:i w:val="0"/>
          <w:iCs w:val="0"/>
          <w:color w:val="auto"/>
          <w:sz w:val="20"/>
          <w:szCs w:val="20"/>
        </w:rPr>
        <w:t>P</w:t>
      </w:r>
      <w:r w:rsidR="00CB5EF4" w:rsidRPr="00CB5EF4">
        <w:rPr>
          <w:rFonts w:ascii="Times New Roman" w:hAnsi="Times New Roman" w:cs="Times New Roman"/>
          <w:i w:val="0"/>
          <w:iCs w:val="0"/>
          <w:color w:val="auto"/>
          <w:sz w:val="20"/>
          <w:szCs w:val="20"/>
        </w:rPr>
        <w:t>resents the Scanning Electron Microscopy (SEM) image of the raw quartz material, highlighting its surface morphology prior to any treatment or coating</w:t>
      </w:r>
    </w:p>
    <w:p w14:paraId="0D030F5A" w14:textId="1145909A" w:rsidR="007820FA" w:rsidRPr="007820FA" w:rsidRDefault="007820FA" w:rsidP="007820FA">
      <w:pPr>
        <w:rPr>
          <w:lang w:val="en-ZA"/>
        </w:rPr>
      </w:pPr>
      <w:r>
        <w:rPr>
          <w:lang w:val="en-ZA"/>
        </w:rPr>
        <w:t>Figure 4</w:t>
      </w:r>
      <w:r w:rsidR="00C04192">
        <w:rPr>
          <w:lang w:val="en-ZA"/>
        </w:rPr>
        <w:t xml:space="preserve"> shows </w:t>
      </w:r>
      <w:r>
        <w:rPr>
          <w:lang w:val="en-ZA"/>
        </w:rPr>
        <w:t xml:space="preserve">raw quartz material: </w:t>
      </w:r>
      <w:r w:rsidRPr="007820FA">
        <w:rPr>
          <w:lang w:val="en-ZA"/>
        </w:rPr>
        <w:t>The raw quartz material exhibits a rough and uneven surface with visible impurities and irregularities</w:t>
      </w:r>
      <w:r w:rsidR="004E3AE6">
        <w:rPr>
          <w:lang w:val="en-ZA"/>
        </w:rPr>
        <w:t xml:space="preserve"> </w:t>
      </w:r>
      <w:r w:rsidR="004E3AE6">
        <w:rPr>
          <w:lang w:val="en-ZA"/>
        </w:rPr>
        <w:fldChar w:fldCharType="begin" w:fldLock="1"/>
      </w:r>
      <w:r w:rsidR="00C50EE2">
        <w:rPr>
          <w:lang w:val="en-ZA"/>
        </w:rPr>
        <w:instrText>ADDIN CSL_CITATION {"citationItems":[{"id":"ITEM-1","itemData":{"DOI":"10.1016/j.jiec.2024.06.016","ISSN":"1226086X","abstract":"Global awareness has been raised to tackle the impact of produced water effluents from the oil and gas industries on the environment. In this work, innovative stannic oxide/polyvinylchloride (SnO2/PVC) microfiltration membranes were fabricated via the phase inversion method and their properties and performance were studied. Six membranes consisting of a fixed PVC concentration of 15 wt%, and varying loading of SnO2 nanoparticles (SnO2NPs) of 0.1, 0.25, 0.5, 1, and 1.5 wt% were cast. The results showed that embedding SnO2NPs outstandingly increased the pure water flux from 40.03 L/m2.h for the pristine PVC membrane to 104.06 L/m2.h for the 1 wt% SnO2NPs/PVC membrane when the oil in water feed concentration was 100 mg/L. This was attributed to enhancing the comprehensive porosity and hydrophilicity of the membranes as well as improving their grifted negative charge. Additionally, the maximum rejection of oil as COD and NTU removal percent achieved by the 1 wt% SnO2NPs/PVC membrane were around 99.6 % and 99.3 % respectively, compared to 83.29 % and 86.11 % using the pristine PVC membrane. Finally, the surface roughness decreased from 18.45 to 8.59 nm with adding SnO2NPs which positively improved the fouling resistance of the membranes as confirmed by obtaining low relative flux reduction and high flux recovery ratio.","author":[{"dropping-particle":"","family":"Sadek","given":"Sara A.","non-dropping-particle":"","parse-names":false,"suffix":""},{"dropping-particle":"","family":"Al-Jubouri","given":"Sama M.","non-dropping-particle":"","parse-names":false,"suffix":""}],"container-title":"Journal of Industrial and Engineering Chemistry","id":"ITEM-1","issue":"February","issued":{"date-parts":[["2024"]]},"page":"577-588","publisher":"Elsevier B.V.","title":"Highly efficient oil-in-water emulsion separation based on innovative stannic oxide/polyvinylchloride (SnO2/PVC) microfiltration membranes","type":"article-journal","volume":"140"},"uris":["http://www.mendeley.com/documents/?uuid=7617fab8-2b12-4ee5-a438-ab7ebbc1c4db"]},{"id":"ITEM-2","itemData":{"DOI":"10.1016/j.jiec.2024.06.016","ISSN":"1226-086X","abstract":"Global awareness has been raised to tackle the impact of produced water effluents from the oil and gas industries on the environment. In this work, novel stannic oxide/polyvinylchloride (SnO2/PVC) microfiltration membranes were fabricated via the phase inversion procedure and their properties and performance were studied. Six membranes consisting of a fixed polymer concentration of 15 wt.%, and varying masses of SnO2 nanoparticles (SnO2NPs) of 0.1, 0.25, 0.5, 1, and 1.5 wt.% were cast. The results showed that the addition of SnO2NPs outstandingly increased the pure water flux from 40.03 L/m2 .h for the pristine PVC membrane to 104.06 L/m2.h for the 1 wt.% SnO2NPs/PVC membrane when the oil in water feed concentration was 100 mg/L. This was attributed to enhance the comprehensive porosity and hydrophilicity of the membranes as well as improving their grifted negative charge. Additionally, the maximum rejection of oil as COD and NTU removal percent achieved by the 1 wt.% SnO2NPs/PVC membrane were around 99.6% and 99.3% respectively, compared to 83.29% and 86.11% using the pristine PVC membrane. Finally, the surface roughness decreased from 18.45 to 8.59 nm with adding SnO2NPs which positively improved the fouling resistance of the membranes.","author":[{"dropping-particle":"","family":"Sara A. Sadek","given":"Sama M. Al-Jubouri","non-dropping-particle":"","parse-names":false,"suffix":""}],"container-title":"in Progress To Be Published","id":"ITEM-2","issue":"xxxx","issued":{"date-parts":[["2024"]]},"publisher":"Elsevier B.V.","title":"Highly efficient oil-in-water emulsion separation based on innovative stannic oxide/polyvinylchloride (SnO2/PVC) microfiltration membranes","type":"article-journal"},"uris":["http://www.mendeley.com/documents/?uuid=842200b5-1c5f-418f-9e11-16ba1a64491e"]}],"mendeley":{"formattedCitation":"[17,18]","plainTextFormattedCitation":"[17,18]","previouslyFormattedCitation":"[17,18]"},"properties":{"noteIndex":0},"schema":"https://github.com/citation-style-language/schema/raw/master/csl-citation.json"}</w:instrText>
      </w:r>
      <w:r w:rsidR="004E3AE6">
        <w:rPr>
          <w:lang w:val="en-ZA"/>
        </w:rPr>
        <w:fldChar w:fldCharType="separate"/>
      </w:r>
      <w:r w:rsidR="004E3AE6" w:rsidRPr="004E3AE6">
        <w:rPr>
          <w:noProof/>
          <w:lang w:val="en-ZA"/>
        </w:rPr>
        <w:t>[17,18]</w:t>
      </w:r>
      <w:r w:rsidR="004E3AE6">
        <w:rPr>
          <w:lang w:val="en-ZA"/>
        </w:rPr>
        <w:fldChar w:fldCharType="end"/>
      </w:r>
      <w:r w:rsidRPr="007820FA">
        <w:rPr>
          <w:lang w:val="en-ZA"/>
        </w:rPr>
        <w:t>. The surface morphology indicates the presence of contaminants that can hinder effective oil-water separation. The roughness is inconsistent, and the absence of hydrophobic treatment leaves the surface with poor wettability characteristics.</w:t>
      </w:r>
    </w:p>
    <w:p w14:paraId="13BCA512" w14:textId="2E82B5AD" w:rsidR="007820FA" w:rsidRPr="007820FA" w:rsidRDefault="004E3AE6" w:rsidP="007820FA">
      <w:pPr>
        <w:rPr>
          <w:lang w:val="en-ZA"/>
        </w:rPr>
      </w:pPr>
      <w:r>
        <w:rPr>
          <w:lang w:val="en-ZA"/>
        </w:rPr>
        <w:t xml:space="preserve"> </w:t>
      </w:r>
    </w:p>
    <w:p w14:paraId="2E80CF91" w14:textId="77777777" w:rsidR="00CB5EF4" w:rsidRDefault="00CB5EF4" w:rsidP="00CB5EF4">
      <w:pPr>
        <w:keepNext/>
        <w:jc w:val="center"/>
      </w:pPr>
      <w:r>
        <w:rPr>
          <w:noProof/>
        </w:rPr>
        <w:drawing>
          <wp:inline distT="0" distB="0" distL="0" distR="0" wp14:anchorId="59B1726E" wp14:editId="3AB0B1B7">
            <wp:extent cx="2945218" cy="2223655"/>
            <wp:effectExtent l="0" t="0" r="7620" b="5715"/>
            <wp:docPr id="175699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91911" name=""/>
                    <pic:cNvPicPr/>
                  </pic:nvPicPr>
                  <pic:blipFill>
                    <a:blip r:embed="rId15"/>
                    <a:stretch>
                      <a:fillRect/>
                    </a:stretch>
                  </pic:blipFill>
                  <pic:spPr>
                    <a:xfrm>
                      <a:off x="0" y="0"/>
                      <a:ext cx="2949248" cy="2226698"/>
                    </a:xfrm>
                    <a:prstGeom prst="rect">
                      <a:avLst/>
                    </a:prstGeom>
                  </pic:spPr>
                </pic:pic>
              </a:graphicData>
            </a:graphic>
          </wp:inline>
        </w:drawing>
      </w:r>
    </w:p>
    <w:p w14:paraId="75B8581C" w14:textId="77777777" w:rsidR="00212759" w:rsidRDefault="00212759" w:rsidP="00CB5EF4">
      <w:pPr>
        <w:keepNext/>
        <w:jc w:val="center"/>
      </w:pPr>
    </w:p>
    <w:p w14:paraId="75E558B5" w14:textId="49C83858" w:rsidR="00CB5EF4" w:rsidRDefault="00CB5EF4" w:rsidP="00CB5EF4">
      <w:pPr>
        <w:pStyle w:val="Caption"/>
        <w:jc w:val="center"/>
        <w:rPr>
          <w:rFonts w:ascii="Times New Roman" w:hAnsi="Times New Roman" w:cs="Times New Roman"/>
          <w:i w:val="0"/>
          <w:iCs w:val="0"/>
          <w:color w:val="auto"/>
          <w:sz w:val="20"/>
          <w:szCs w:val="20"/>
        </w:rPr>
      </w:pPr>
      <w:r w:rsidRPr="00CB5EF4">
        <w:rPr>
          <w:rFonts w:ascii="Times New Roman" w:hAnsi="Times New Roman" w:cs="Times New Roman"/>
          <w:b/>
          <w:bCs/>
          <w:i w:val="0"/>
          <w:iCs w:val="0"/>
          <w:color w:val="auto"/>
          <w:sz w:val="20"/>
          <w:szCs w:val="20"/>
        </w:rPr>
        <w:t xml:space="preserve">Figure </w:t>
      </w:r>
      <w:r w:rsidRPr="00CB5EF4">
        <w:rPr>
          <w:rFonts w:ascii="Times New Roman" w:hAnsi="Times New Roman" w:cs="Times New Roman"/>
          <w:b/>
          <w:bCs/>
          <w:i w:val="0"/>
          <w:iCs w:val="0"/>
          <w:color w:val="auto"/>
          <w:sz w:val="20"/>
          <w:szCs w:val="20"/>
        </w:rPr>
        <w:fldChar w:fldCharType="begin"/>
      </w:r>
      <w:r w:rsidRPr="00CB5EF4">
        <w:rPr>
          <w:rFonts w:ascii="Times New Roman" w:hAnsi="Times New Roman" w:cs="Times New Roman"/>
          <w:b/>
          <w:bCs/>
          <w:i w:val="0"/>
          <w:iCs w:val="0"/>
          <w:color w:val="auto"/>
          <w:sz w:val="20"/>
          <w:szCs w:val="20"/>
        </w:rPr>
        <w:instrText xml:space="preserve"> SEQ Figure \* ARABIC </w:instrText>
      </w:r>
      <w:r w:rsidRPr="00CB5EF4">
        <w:rPr>
          <w:rFonts w:ascii="Times New Roman" w:hAnsi="Times New Roman" w:cs="Times New Roman"/>
          <w:b/>
          <w:bCs/>
          <w:i w:val="0"/>
          <w:iCs w:val="0"/>
          <w:color w:val="auto"/>
          <w:sz w:val="20"/>
          <w:szCs w:val="20"/>
        </w:rPr>
        <w:fldChar w:fldCharType="separate"/>
      </w:r>
      <w:r w:rsidR="001B6C2E">
        <w:rPr>
          <w:rFonts w:ascii="Times New Roman" w:hAnsi="Times New Roman" w:cs="Times New Roman"/>
          <w:b/>
          <w:bCs/>
          <w:i w:val="0"/>
          <w:iCs w:val="0"/>
          <w:noProof/>
          <w:color w:val="auto"/>
          <w:sz w:val="20"/>
          <w:szCs w:val="20"/>
        </w:rPr>
        <w:t>5</w:t>
      </w:r>
      <w:r w:rsidRPr="00CB5EF4">
        <w:rPr>
          <w:rFonts w:ascii="Times New Roman" w:hAnsi="Times New Roman" w:cs="Times New Roman"/>
          <w:b/>
          <w:bCs/>
          <w:i w:val="0"/>
          <w:iCs w:val="0"/>
          <w:color w:val="auto"/>
          <w:sz w:val="20"/>
          <w:szCs w:val="20"/>
        </w:rPr>
        <w:fldChar w:fldCharType="end"/>
      </w:r>
      <w:r w:rsidRPr="00CB5EF4">
        <w:rPr>
          <w:rFonts w:ascii="Times New Roman" w:hAnsi="Times New Roman" w:cs="Times New Roman"/>
          <w:b/>
          <w:bCs/>
          <w:i w:val="0"/>
          <w:iCs w:val="0"/>
          <w:color w:val="auto"/>
          <w:sz w:val="20"/>
          <w:szCs w:val="20"/>
        </w:rPr>
        <w:t>.</w:t>
      </w:r>
      <w:r>
        <w:rPr>
          <w:rFonts w:ascii="Times New Roman" w:hAnsi="Times New Roman" w:cs="Times New Roman"/>
          <w:b/>
          <w:bCs/>
          <w:i w:val="0"/>
          <w:iCs w:val="0"/>
          <w:color w:val="auto"/>
          <w:sz w:val="20"/>
          <w:szCs w:val="20"/>
        </w:rPr>
        <w:t xml:space="preserve"> </w:t>
      </w:r>
      <w:r w:rsidRPr="00CB5EF4">
        <w:rPr>
          <w:rFonts w:ascii="Times New Roman" w:hAnsi="Times New Roman" w:cs="Times New Roman"/>
          <w:i w:val="0"/>
          <w:iCs w:val="0"/>
          <w:color w:val="auto"/>
          <w:sz w:val="20"/>
          <w:szCs w:val="20"/>
        </w:rPr>
        <w:t>Displays the Scanning Electron Microscopy (SEM) image of the quartz material after the washing process, illustrating the cleaned surface morphology following the removal of impurities and contaminants</w:t>
      </w:r>
    </w:p>
    <w:p w14:paraId="73883C62" w14:textId="5383FBB0" w:rsidR="00C04192" w:rsidRPr="00C04192" w:rsidRDefault="00C04192" w:rsidP="00C04192">
      <w:pPr>
        <w:rPr>
          <w:lang w:val="en-ZA"/>
        </w:rPr>
      </w:pPr>
      <w:r>
        <w:rPr>
          <w:lang w:val="en-ZA"/>
        </w:rPr>
        <w:t xml:space="preserve">Figure 5 shows washed quartz material: </w:t>
      </w:r>
      <w:r w:rsidRPr="00C04192">
        <w:rPr>
          <w:lang w:val="en-ZA"/>
        </w:rPr>
        <w:t xml:space="preserve">After the washing process, the SEM image (Figure 5) reveals a significant </w:t>
      </w:r>
      <w:r w:rsidRPr="00C04192">
        <w:rPr>
          <w:lang w:val="en-ZA"/>
        </w:rPr>
        <w:lastRenderedPageBreak/>
        <w:t>reduction in surface impurities. The surface becomes cleaner, with more uniform roughness compared to the raw material. This cleaning process is essential for preparing the quartz material to enhance the adhesion and uniformity of subsequent nanoparticle coatings</w:t>
      </w:r>
      <w:r w:rsidR="00C50EE2">
        <w:rPr>
          <w:lang w:val="en-ZA"/>
        </w:rPr>
        <w:t xml:space="preserve"> </w:t>
      </w:r>
      <w:r w:rsidR="00C50EE2">
        <w:rPr>
          <w:lang w:val="en-ZA"/>
        </w:rPr>
        <w:fldChar w:fldCharType="begin" w:fldLock="1"/>
      </w:r>
      <w:r w:rsidR="00C50EE2">
        <w:rPr>
          <w:lang w:val="en-ZA"/>
        </w:rPr>
        <w:instrText>ADDIN CSL_CITATION {"citationItems":[{"id":"ITEM-1","itemData":{"DOI":"10.1016/j.ijbiomac.2023.128579","ISSN":"18790003","PMID":"38048931","abstract":"As a well-known natural and innocuous plant constituent, cellulose consists of abundant hydroxyl groups and can tightly adsorb onto material surfaces hydrogen bonding, resulting in a superhydrophilic surface. In this work, the hydrophobic polyvinylidene fluoride (PVDF) membranes were modified by immersing them in cellulose hydrogel using a simple one-step process. The modified PVDF membrane exhibited excellent resistance to fouling and oil adhesion, making it highly effective in separating various oil-in-water emulsions. The cellulose-modified PVDF membranes achieved a high oil rejection rate (&gt;99 %) and a maximum separation flux of 2675.2 L·m−2·h−1. Furthermore, even an oil-in-water emulsion containing bovine serum albumin maintained a steady permeation flux after four filtration cycles. Additionally, these cellulose-modified PVDF membranes demonstrated excellent underwater superoleophobicity across a wide range of pH levels and high saline conditions. Overall, these cellulose-modified superhydrophilic PVDF membranes are sustainable, environmentally friendly, easily scalable, and hold great promise for practical applications in oily wastewater treatment.","author":[{"dropping-particle":"","family":"Yu","given":"Xiao","non-dropping-particle":"","parse-names":false,"suffix":""},{"dropping-particle":"","family":"Ji","given":"Jing","non-dropping-particle":"","parse-names":false,"suffix":""},{"dropping-particle":"","family":"Wu","given":"Qing Yun","non-dropping-particle":"","parse-names":false,"suffix":""},{"dropping-particle":"","family":"Gu","given":"Lin","non-dropping-particle":"","parse-names":false,"suffix":""}],"container-title":"International Journal of Biological Macromolecules","id":"ITEM-1","issue":"P2","issued":{"date-parts":[["2024"]]},"page":"128579","publisher":"Elsevier B.V.","title":"Direct-coating of cellulose hydrogel on PVDF membranes with superhydrophilic and antifouling properties for high-efficiency oil/water emulsion separation","type":"article-journal","volume":"256"},"uris":["http://www.mendeley.com/documents/?uuid=42f123bd-ffba-49a7-89e2-a5cf9c41bd5b"]},{"id":"ITEM-2","itemData":{"DOI":"https://doi.org/10.1016/j.carbpol.2024.122358","ISSN":"0144-8617","abstract":"With the increase of oily wastewater discharge and the growing demand for clean water supply, high throughput green materials for oil-water separation with anti-pollution and self-cleaning ability are urgently needed. Herein, the polysaccharide-based composite aerogels of CMC/SA@TiO2-MWCNTs (CSTM) with fast photo-driven self-cleaning ability have been prepared by a simple freeze-drying and ionic cross-linking strategy. The introduction of TiO2 /MWCNTs nanocomposites effectively improves the underwater oleophobic and mechanical properties of polysaccharide aerogels and enables their photo-driven self-cleaning ability for efficient oil-water separation and purification of complex oily wastewater. For immiscible oil-water mixtures, a high separation flux of about 7650 L m−2 h−1 and a separation efficiency of up to 99.9 % was obtained. For surfactant-stabilized oil-in-water emulsion, a flux of 3952 L m−2 h−1 was achieved with a separation efficiency of up to 99.3 %. More importantly, the excellent photoluminescent self-cleaning ability and low oil adhesion contribute to the high contamination resistance, excellent reusability, and robust durability of CSTM aerogel. With the advantages of simple preparation, remarkable performance, and recyclability, this aerogel is expected to provide a green, economical, and scalable solution for the purification of oily wastewater.","author":[{"dropping-particle":"","family":"Wang","given":"Tao","non-dropping-particle":"","parse-names":false,"suffix":""},{"dropping-particle":"","family":"Wang","given":"Wei","non-dropping-particle":"","parse-names":false,"suffix":""},{"dropping-particle":"","family":"Hu","given":"Chunyan","non-dropping-particle":"","parse-names":false,"suffix":""},{"dropping-particle":"","family":"Zheng","given":"Jian","non-dropping-particle":"","parse-names":false,"suffix":""},{"dropping-particle":"","family":"Zhu","given":"Zhijia","non-dropping-particle":"","parse-names":false,"suffix":""},{"dropping-particle":"","family":"Liu","given":"Baojiang","non-dropping-particle":"","parse-names":false,"suffix":""}],"container-title":"Carbohydrate Polymers","id":"ITEM-2","issued":{"date-parts":[["2024"]]},"page":"122358","title":"Design of carboxymethyl cellulose/alginate aerogels with anti-fouling and light-driven self-cleaning for enhanced oily wastewater remediation","type":"article-journal","volume":"342"},"uris":["http://www.mendeley.com/documents/?uuid=e4579d35-aad8-434e-ba65-5f205c053f2f"]}],"mendeley":{"formattedCitation":"[19,20]","plainTextFormattedCitation":"[19,20]","previouslyFormattedCitation":"[19,20]"},"properties":{"noteIndex":0},"schema":"https://github.com/citation-style-language/schema/raw/master/csl-citation.json"}</w:instrText>
      </w:r>
      <w:r w:rsidR="00C50EE2">
        <w:rPr>
          <w:lang w:val="en-ZA"/>
        </w:rPr>
        <w:fldChar w:fldCharType="separate"/>
      </w:r>
      <w:r w:rsidR="00C50EE2" w:rsidRPr="00C50EE2">
        <w:rPr>
          <w:noProof/>
          <w:lang w:val="en-ZA"/>
        </w:rPr>
        <w:t>[19,20]</w:t>
      </w:r>
      <w:r w:rsidR="00C50EE2">
        <w:rPr>
          <w:lang w:val="en-ZA"/>
        </w:rPr>
        <w:fldChar w:fldCharType="end"/>
      </w:r>
      <w:r w:rsidRPr="00C04192">
        <w:rPr>
          <w:lang w:val="en-ZA"/>
        </w:rPr>
        <w:t>. Despite the improvement in cleanliness, the material still lacks hydrophobic properties, making it unsuitable for efficient oil-water separation.</w:t>
      </w:r>
    </w:p>
    <w:p w14:paraId="36C541C1" w14:textId="77777777" w:rsidR="00C04192" w:rsidRPr="00C04192" w:rsidRDefault="00C04192" w:rsidP="00C04192">
      <w:pPr>
        <w:rPr>
          <w:lang w:val="en-ZA"/>
        </w:rPr>
      </w:pPr>
    </w:p>
    <w:p w14:paraId="2774A00A" w14:textId="2B5AE370" w:rsidR="00CB5EF4" w:rsidRDefault="00E104D3" w:rsidP="00CB5EF4">
      <w:pPr>
        <w:keepNext/>
        <w:jc w:val="center"/>
      </w:pPr>
      <w:r>
        <w:rPr>
          <w:noProof/>
        </w:rPr>
        <w:drawing>
          <wp:inline distT="0" distB="0" distL="0" distR="0" wp14:anchorId="58D3FB7B" wp14:editId="7C9AD604">
            <wp:extent cx="2878734" cy="2355273"/>
            <wp:effectExtent l="0" t="0" r="0" b="6985"/>
            <wp:docPr id="982894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94009" name=""/>
                    <pic:cNvPicPr/>
                  </pic:nvPicPr>
                  <pic:blipFill>
                    <a:blip r:embed="rId16"/>
                    <a:stretch>
                      <a:fillRect/>
                    </a:stretch>
                  </pic:blipFill>
                  <pic:spPr>
                    <a:xfrm>
                      <a:off x="0" y="0"/>
                      <a:ext cx="2888352" cy="2363142"/>
                    </a:xfrm>
                    <a:prstGeom prst="rect">
                      <a:avLst/>
                    </a:prstGeom>
                  </pic:spPr>
                </pic:pic>
              </a:graphicData>
            </a:graphic>
          </wp:inline>
        </w:drawing>
      </w:r>
    </w:p>
    <w:p w14:paraId="28511D9B" w14:textId="77777777" w:rsidR="00212759" w:rsidRDefault="00212759" w:rsidP="00CB5EF4">
      <w:pPr>
        <w:keepNext/>
        <w:jc w:val="center"/>
      </w:pPr>
    </w:p>
    <w:p w14:paraId="492ED2E2" w14:textId="648196ED" w:rsidR="00CB5EF4" w:rsidRDefault="00CB5EF4" w:rsidP="00CB5EF4">
      <w:pPr>
        <w:pStyle w:val="Caption"/>
        <w:jc w:val="center"/>
        <w:rPr>
          <w:rFonts w:ascii="Times New Roman" w:hAnsi="Times New Roman" w:cs="Times New Roman"/>
          <w:i w:val="0"/>
          <w:iCs w:val="0"/>
          <w:color w:val="auto"/>
          <w:sz w:val="20"/>
          <w:szCs w:val="20"/>
        </w:rPr>
      </w:pPr>
      <w:r w:rsidRPr="00CB5EF4">
        <w:rPr>
          <w:rFonts w:ascii="Times New Roman" w:hAnsi="Times New Roman" w:cs="Times New Roman"/>
          <w:b/>
          <w:bCs/>
          <w:i w:val="0"/>
          <w:iCs w:val="0"/>
          <w:color w:val="auto"/>
          <w:sz w:val="20"/>
          <w:szCs w:val="20"/>
        </w:rPr>
        <w:t xml:space="preserve">Figure </w:t>
      </w:r>
      <w:r w:rsidRPr="00CB5EF4">
        <w:rPr>
          <w:rFonts w:ascii="Times New Roman" w:hAnsi="Times New Roman" w:cs="Times New Roman"/>
          <w:b/>
          <w:bCs/>
          <w:i w:val="0"/>
          <w:iCs w:val="0"/>
          <w:color w:val="auto"/>
          <w:sz w:val="20"/>
          <w:szCs w:val="20"/>
        </w:rPr>
        <w:fldChar w:fldCharType="begin"/>
      </w:r>
      <w:r w:rsidRPr="00CB5EF4">
        <w:rPr>
          <w:rFonts w:ascii="Times New Roman" w:hAnsi="Times New Roman" w:cs="Times New Roman"/>
          <w:b/>
          <w:bCs/>
          <w:i w:val="0"/>
          <w:iCs w:val="0"/>
          <w:color w:val="auto"/>
          <w:sz w:val="20"/>
          <w:szCs w:val="20"/>
        </w:rPr>
        <w:instrText xml:space="preserve"> SEQ Figure \* ARABIC </w:instrText>
      </w:r>
      <w:r w:rsidRPr="00CB5EF4">
        <w:rPr>
          <w:rFonts w:ascii="Times New Roman" w:hAnsi="Times New Roman" w:cs="Times New Roman"/>
          <w:b/>
          <w:bCs/>
          <w:i w:val="0"/>
          <w:iCs w:val="0"/>
          <w:color w:val="auto"/>
          <w:sz w:val="20"/>
          <w:szCs w:val="20"/>
        </w:rPr>
        <w:fldChar w:fldCharType="separate"/>
      </w:r>
      <w:r w:rsidR="001B6C2E">
        <w:rPr>
          <w:rFonts w:ascii="Times New Roman" w:hAnsi="Times New Roman" w:cs="Times New Roman"/>
          <w:b/>
          <w:bCs/>
          <w:i w:val="0"/>
          <w:iCs w:val="0"/>
          <w:noProof/>
          <w:color w:val="auto"/>
          <w:sz w:val="20"/>
          <w:szCs w:val="20"/>
        </w:rPr>
        <w:t>6</w:t>
      </w:r>
      <w:r w:rsidRPr="00CB5EF4">
        <w:rPr>
          <w:rFonts w:ascii="Times New Roman" w:hAnsi="Times New Roman" w:cs="Times New Roman"/>
          <w:b/>
          <w:bCs/>
          <w:i w:val="0"/>
          <w:iCs w:val="0"/>
          <w:color w:val="auto"/>
          <w:sz w:val="20"/>
          <w:szCs w:val="20"/>
        </w:rPr>
        <w:fldChar w:fldCharType="end"/>
      </w:r>
      <w:r w:rsidRPr="00CB5EF4">
        <w:rPr>
          <w:rFonts w:ascii="Times New Roman" w:hAnsi="Times New Roman" w:cs="Times New Roman"/>
          <w:b/>
          <w:bCs/>
          <w:i w:val="0"/>
          <w:iCs w:val="0"/>
          <w:color w:val="auto"/>
          <w:sz w:val="20"/>
          <w:szCs w:val="20"/>
        </w:rPr>
        <w:t>.</w:t>
      </w:r>
      <w:r w:rsidRPr="00CB5EF4">
        <w:rPr>
          <w:rFonts w:ascii="Times New Roman" w:hAnsi="Times New Roman" w:cs="Times New Roman"/>
          <w:i w:val="0"/>
          <w:iCs w:val="0"/>
          <w:color w:val="auto"/>
          <w:sz w:val="20"/>
          <w:szCs w:val="20"/>
        </w:rPr>
        <w:t xml:space="preserve"> illustrates the Scanning Electron Microscopy (SEM) image of the quartz material surface after the first coating with hydrophobic nanoparticles, highlighting the initial layer of coverage applied to enhance surface wettability</w:t>
      </w:r>
    </w:p>
    <w:p w14:paraId="6D352746" w14:textId="5DD13E40" w:rsidR="00C04192" w:rsidRPr="00C04192" w:rsidRDefault="00C04192" w:rsidP="00C04192">
      <w:pPr>
        <w:rPr>
          <w:lang w:val="en-ZA"/>
        </w:rPr>
      </w:pPr>
      <w:r>
        <w:rPr>
          <w:lang w:val="en-ZA"/>
        </w:rPr>
        <w:t xml:space="preserve">Figure 6 shows first coating: </w:t>
      </w:r>
      <w:r w:rsidRPr="00C04192">
        <w:rPr>
          <w:lang w:val="en-ZA"/>
        </w:rPr>
        <w:t>The SEM image of the first coating shows a relatively uniform layer of hydrophobic nanoparticles on the quartz surface. The distribution of nanoparticles is consistent, with minimal clustering</w:t>
      </w:r>
      <w:r w:rsidR="00C50EE2">
        <w:rPr>
          <w:lang w:val="en-ZA"/>
        </w:rPr>
        <w:t xml:space="preserve"> </w:t>
      </w:r>
      <w:r w:rsidR="00C50EE2">
        <w:rPr>
          <w:lang w:val="en-ZA"/>
        </w:rPr>
        <w:fldChar w:fldCharType="begin" w:fldLock="1"/>
      </w:r>
      <w:r w:rsidR="00C50EE2">
        <w:rPr>
          <w:lang w:val="en-ZA"/>
        </w:rPr>
        <w:instrText xml:space="preserve">ADDIN CSL_CITATION {"citationItems":[{"id":"ITEM-1","itemData":{"DOI":"10.3390/membranes6030040","ISSN":"20770375","abstract":"We present a modeling approach to determine the permeability-selectivity tradeoff for microfiltration and ultrafiltration membranes with a distribution of pore sizes and pore shapes. Using the formulated permeability-selectivity model, the effect of pore aspect ratio and pore size distribution on the permeability-selectivity tradeoff of the membrane is analyzed. A finite element model is developed to study the effect of membrane stretching on the distribution of pore sizes and shapes in the stretched membrane. The effect of membrane stretching on the permeability-selectivity tradeoff of membranes is also analyzed. The results show that increasing pore aspect ratio improves membrane performance while increasing the width of pore size distribution deteriorates the performance. It was also found that the effect of membrane stretching on the permeability-selectivity tradeoff is greatly affected by the uniformity of pore distribution in the membrane. Stretching showed a positive shift in the permeability-selectivity tradeoff curve of membranes with well-dispersed pores while in the case of pore clustering, a negative shift in the permeability-selectivity tradeoff curve was observed.","author":[{"dropping-particle":"","family":"Siddiqui","given":"Muhammad Usama","non-dropping-particle":"","parse-names":false,"suffix":""},{"dropping-particle":"","family":"Arif","given":"Abul Fazal Muhammad","non-dropping-particle":"","parse-names":false,"suffix":""},{"dropping-particle":"","family":"Bashmal","given":"Salem","non-dropping-particle":"","parse-names":false,"suffix":""}],"container-title":"Membranes","id":"ITEM-1","issue":"3","issued":{"date-parts":[["2016"]]},"page":"1-14","title":"Permeability-selectivity analysis of microfiltration and ultrafiltration membranes: Effect of pore size and shape distribution and membrane stretching","type":"article-journal","volume":"6"},"uris":["http://www.mendeley.com/documents/?uuid=d84dac9a-236c-4a0e-ab40-d0b7df537c39"]},{"id":"ITEM-2","itemData":{"DOI":"10.1016/j.seppur.2018.06.043","ISSN":"18733794","abstract":"In this work, the concept of multicontinuum approach has been extended to investigate permeation flux decline with time due to fouling in crossflow filtration systems. In this work, the decline of permeation flux has been attributed, mainly, to the decline of the available area for the flow due to either or both of two mechanisms; namely, oil droplets pinning and/or oil droplets coalescence. In this work, we consider the first mechanism in which fouling is attributed to the pinning of oil droplets at the membrane surface. In another work, we consider the more general mechanism contributing to the problem of fouling, which involves oil droplets coalescence and clustering. Under the pinning mechanism, the porous membrane and the oil droplets have been divided into a number of continua according to the pores and droplets size distributions. These continua interact according the conditions for permeation, rejection, breakup and pinning. The decline of the porosity of each porous continuum has been captured and likewise the decline of the critical velocity and the permeation flux. This model introduces two fitting parameters that are essentially dependent on the type of filtration technique. Comparisons with the experimental data available in literature show a very good match.","author":[{"dropping-particle":"","family":"Salama","given":"Amgad","non-dropping-particle":"","parse-names":false,"suffix":""}],"container-title":"Separation and Purification Technology","id":"ITEM-2","issue":"June","issued":{"date-parts":[["2018"]]},"page":"240-254","title":"Modeling of flux decline behavior during the filtration of oily-water systems using porous membranes: Effect of pinning of nonpermeating oil droplets","type":"article-journal","volume":"207"},"uris":["http://www.mendeley.com/documents/?uuid=062e5000-0c31-4c52-8ce4-42c027f90c5c"]},{"id":"ITEM-3","itemData":{"DOI":"10.1016/j.memsci.2015.11.005","ISSN":"18733123","abstract":"A fundamental study of microfiltration membrane fouling by emulsified oil was conducted using a combination of real-time visualization, force balance on a droplet, and permeate flux analysis. The model 0.1% v/v hexadecane-in-water emulsions contained sodium dodecyl sulfate (0.1mM, 0.4mM, or 0.8mM) to regulate interfacial tension. Direct Observation Through the Membrane tests with Anopore (dpore=0.2μm) and track-etch (dpore=5μm) membranes revealed three characteristic stages of membrane fouling: (1) droplet attachment and clustering, (2) droplet deformation, and (3) droplet coalescence. In qualitative agreement with visualization results, the force balance predicted that droplets </w:instrText>
      </w:r>
      <w:r w:rsidR="00C50EE2">
        <w:rPr>
          <w:rFonts w:ascii="Cambria Math" w:hAnsi="Cambria Math" w:cs="Cambria Math"/>
          <w:lang w:val="en-ZA"/>
        </w:rPr>
        <w:instrText>≲</w:instrText>
      </w:r>
      <w:r w:rsidR="00C50EE2">
        <w:rPr>
          <w:lang w:val="en-ZA"/>
        </w:rPr>
        <w:instrText>36-40μm would remain pinned at dpore=5μm pores while larger droplets would be swept off the surface by the crossflow drag. In a separate set of constant pressure crossflow filtration tests with track-etch membranes, the average oil rejection was ≥98% while the permeate flux decreased to a pseudo-steady-state ~10% of the initial value. The results indicate that membrane fouling by emulsified oil is controlled by droplet coalescence and crossflow shear: the transport of oil to the membrane surface by the permeate flow is balanced by the shear-induced removal of the droplets that coalesce to exceed a critical size.","author":[{"dropping-particle":"","family":"Tummons","given":"Emily N.","non-dropping-particle":"","parse-names":false,"suffix":""},{"dropping-particle":"V.","family":"Tarabara","given":"Volodymyr","non-dropping-particle":"","parse-names":false,"suffix":""},{"dropping-particle":"","family":"Chew","given":"Jia Wei","non-dropping-particle":"","parse-names":false,"suffix":""},{"dropping-particle":"","family":"Fane","given":"Anthony G.","non-dropping-particle":"","parse-names":false,"suffix":""}],"container-title":"Journal of Membrane Science","id":"ITEM-3","issued":{"date-parts":[["2016"]]},"page":"211-224","publisher":"Elsevier","title":"Behavior of oil droplets at the membrane surface during crossflow microfiltration of oil-water emulsions","type":"article-journal","volume":"500"},"uris":["http://www.mendeley.com/documents/?uuid=25fcbae6-b7a9-43e2-99ed-8c2a610925d7"]}],"mendeley":{"formattedCitation":"[21–23]","plainTextFormattedCitation":"[21–23]","previouslyFormattedCitation":"[21–23]"},"properties":{"noteIndex":0},"schema":"https://github.com/citation-style-language/schema/raw/master/csl-citation.json"}</w:instrText>
      </w:r>
      <w:r w:rsidR="00C50EE2">
        <w:rPr>
          <w:lang w:val="en-ZA"/>
        </w:rPr>
        <w:fldChar w:fldCharType="separate"/>
      </w:r>
      <w:r w:rsidR="00C50EE2" w:rsidRPr="00C50EE2">
        <w:rPr>
          <w:noProof/>
          <w:lang w:val="en-ZA"/>
        </w:rPr>
        <w:t>[21–23]</w:t>
      </w:r>
      <w:r w:rsidR="00C50EE2">
        <w:rPr>
          <w:lang w:val="en-ZA"/>
        </w:rPr>
        <w:fldChar w:fldCharType="end"/>
      </w:r>
      <w:r w:rsidRPr="00C04192">
        <w:rPr>
          <w:lang w:val="en-ZA"/>
        </w:rPr>
        <w:t>. This even coverage contributes to optimal surface wettability, as the hydrophobic nanoparticles enhance the surface energy, making it resistant to water adhesion. The inter-separation distances between nanoparticles are small and consistent, allowing the surface to maintain a balance between roughness and smoothness, which is crucial for effective oil-water separation.</w:t>
      </w:r>
      <w:r>
        <w:rPr>
          <w:lang w:val="en-ZA"/>
        </w:rPr>
        <w:t xml:space="preserve"> </w:t>
      </w:r>
      <w:r w:rsidRPr="00C04192">
        <w:rPr>
          <w:lang w:val="en-ZA"/>
        </w:rPr>
        <w:t>The first coating achieves the best wettability due to the uniformity of nanoparticle coverage. The balance between surface roughness and smoothness ensures that water droplets roll off the surface without being trapped, maximizing the material's hydrophobicity.</w:t>
      </w:r>
    </w:p>
    <w:p w14:paraId="0C3E9F23" w14:textId="77777777" w:rsidR="00C04192" w:rsidRPr="00C04192" w:rsidRDefault="00C04192" w:rsidP="00C04192">
      <w:pPr>
        <w:rPr>
          <w:lang w:val="en-ZA"/>
        </w:rPr>
      </w:pPr>
    </w:p>
    <w:p w14:paraId="68EF3BB6" w14:textId="77777777" w:rsidR="00CB5EF4" w:rsidRDefault="00CB5EF4" w:rsidP="00212759">
      <w:pPr>
        <w:keepNext/>
        <w:jc w:val="center"/>
      </w:pPr>
      <w:r>
        <w:rPr>
          <w:noProof/>
        </w:rPr>
        <w:drawing>
          <wp:inline distT="0" distB="0" distL="0" distR="0" wp14:anchorId="183E0C03" wp14:editId="4594FA44">
            <wp:extent cx="2997284" cy="2382982"/>
            <wp:effectExtent l="0" t="0" r="0" b="0"/>
            <wp:docPr id="583531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31031" name=""/>
                    <pic:cNvPicPr/>
                  </pic:nvPicPr>
                  <pic:blipFill>
                    <a:blip r:embed="rId17"/>
                    <a:stretch>
                      <a:fillRect/>
                    </a:stretch>
                  </pic:blipFill>
                  <pic:spPr>
                    <a:xfrm>
                      <a:off x="0" y="0"/>
                      <a:ext cx="3013013" cy="2395487"/>
                    </a:xfrm>
                    <a:prstGeom prst="rect">
                      <a:avLst/>
                    </a:prstGeom>
                  </pic:spPr>
                </pic:pic>
              </a:graphicData>
            </a:graphic>
          </wp:inline>
        </w:drawing>
      </w:r>
    </w:p>
    <w:p w14:paraId="0D39F013" w14:textId="77777777" w:rsidR="00212759" w:rsidRDefault="00212759" w:rsidP="00212759">
      <w:pPr>
        <w:keepNext/>
        <w:jc w:val="center"/>
      </w:pPr>
    </w:p>
    <w:p w14:paraId="5F3825F8" w14:textId="6F6170B0" w:rsidR="00CB5EF4" w:rsidRDefault="00CB5EF4" w:rsidP="00212759">
      <w:pPr>
        <w:pStyle w:val="Caption"/>
        <w:jc w:val="center"/>
        <w:rPr>
          <w:rFonts w:ascii="Times New Roman" w:hAnsi="Times New Roman" w:cs="Times New Roman"/>
          <w:i w:val="0"/>
          <w:iCs w:val="0"/>
          <w:color w:val="auto"/>
          <w:sz w:val="20"/>
          <w:szCs w:val="20"/>
        </w:rPr>
      </w:pPr>
      <w:r w:rsidRPr="00212759">
        <w:rPr>
          <w:rFonts w:ascii="Times New Roman" w:hAnsi="Times New Roman" w:cs="Times New Roman"/>
          <w:b/>
          <w:bCs/>
          <w:i w:val="0"/>
          <w:iCs w:val="0"/>
          <w:color w:val="auto"/>
          <w:sz w:val="20"/>
          <w:szCs w:val="20"/>
        </w:rPr>
        <w:t xml:space="preserve">Figure </w:t>
      </w:r>
      <w:r w:rsidRPr="00212759">
        <w:rPr>
          <w:rFonts w:ascii="Times New Roman" w:hAnsi="Times New Roman" w:cs="Times New Roman"/>
          <w:b/>
          <w:bCs/>
          <w:i w:val="0"/>
          <w:iCs w:val="0"/>
          <w:color w:val="auto"/>
          <w:sz w:val="20"/>
          <w:szCs w:val="20"/>
        </w:rPr>
        <w:fldChar w:fldCharType="begin"/>
      </w:r>
      <w:r w:rsidRPr="00212759">
        <w:rPr>
          <w:rFonts w:ascii="Times New Roman" w:hAnsi="Times New Roman" w:cs="Times New Roman"/>
          <w:b/>
          <w:bCs/>
          <w:i w:val="0"/>
          <w:iCs w:val="0"/>
          <w:color w:val="auto"/>
          <w:sz w:val="20"/>
          <w:szCs w:val="20"/>
        </w:rPr>
        <w:instrText xml:space="preserve"> SEQ Figure \* ARABIC </w:instrText>
      </w:r>
      <w:r w:rsidRPr="00212759">
        <w:rPr>
          <w:rFonts w:ascii="Times New Roman" w:hAnsi="Times New Roman" w:cs="Times New Roman"/>
          <w:b/>
          <w:bCs/>
          <w:i w:val="0"/>
          <w:iCs w:val="0"/>
          <w:color w:val="auto"/>
          <w:sz w:val="20"/>
          <w:szCs w:val="20"/>
        </w:rPr>
        <w:fldChar w:fldCharType="separate"/>
      </w:r>
      <w:r w:rsidR="001B6C2E">
        <w:rPr>
          <w:rFonts w:ascii="Times New Roman" w:hAnsi="Times New Roman" w:cs="Times New Roman"/>
          <w:b/>
          <w:bCs/>
          <w:i w:val="0"/>
          <w:iCs w:val="0"/>
          <w:noProof/>
          <w:color w:val="auto"/>
          <w:sz w:val="20"/>
          <w:szCs w:val="20"/>
        </w:rPr>
        <w:t>7</w:t>
      </w:r>
      <w:r w:rsidRPr="00212759">
        <w:rPr>
          <w:rFonts w:ascii="Times New Roman" w:hAnsi="Times New Roman" w:cs="Times New Roman"/>
          <w:b/>
          <w:bCs/>
          <w:i w:val="0"/>
          <w:iCs w:val="0"/>
          <w:color w:val="auto"/>
          <w:sz w:val="20"/>
          <w:szCs w:val="20"/>
        </w:rPr>
        <w:fldChar w:fldCharType="end"/>
      </w:r>
      <w:r w:rsidRPr="00212759">
        <w:rPr>
          <w:rFonts w:ascii="Times New Roman" w:hAnsi="Times New Roman" w:cs="Times New Roman"/>
          <w:b/>
          <w:bCs/>
          <w:i w:val="0"/>
          <w:iCs w:val="0"/>
          <w:color w:val="auto"/>
          <w:sz w:val="20"/>
          <w:szCs w:val="20"/>
        </w:rPr>
        <w:t>.</w:t>
      </w:r>
      <w:r w:rsidRPr="00212759">
        <w:rPr>
          <w:rFonts w:ascii="Times New Roman" w:hAnsi="Times New Roman" w:cs="Times New Roman"/>
          <w:i w:val="0"/>
          <w:iCs w:val="0"/>
          <w:color w:val="auto"/>
          <w:sz w:val="20"/>
          <w:szCs w:val="20"/>
        </w:rPr>
        <w:t xml:space="preserve"> </w:t>
      </w:r>
      <w:r w:rsidR="00212759" w:rsidRPr="00212759">
        <w:rPr>
          <w:rFonts w:ascii="Times New Roman" w:hAnsi="Times New Roman" w:cs="Times New Roman"/>
          <w:i w:val="0"/>
          <w:iCs w:val="0"/>
          <w:color w:val="auto"/>
          <w:sz w:val="20"/>
          <w:szCs w:val="20"/>
        </w:rPr>
        <w:t>depicts the Scanning Electron Microscopy (SEM) image of the quartz material surface after the second coating with hydrophobic nanoparticles, demonstrating increased coverage and further enhancement of the surface properties</w:t>
      </w:r>
    </w:p>
    <w:p w14:paraId="5CBCF50B" w14:textId="18B70E06" w:rsidR="00C04192" w:rsidRPr="00C04192" w:rsidRDefault="00C04192" w:rsidP="00C04192">
      <w:pPr>
        <w:rPr>
          <w:lang w:val="en-ZA"/>
        </w:rPr>
      </w:pPr>
      <w:r>
        <w:rPr>
          <w:lang w:val="en-ZA"/>
        </w:rPr>
        <w:t xml:space="preserve">Figure 7 shows second coating: </w:t>
      </w:r>
      <w:r w:rsidRPr="00C04192">
        <w:rPr>
          <w:lang w:val="en-ZA"/>
        </w:rPr>
        <w:t>The second coating introduces additional nanoparticles, increasing the surface roughness. While the coverage remains relatively uniform, slight clustering of nanoparticles begins to appear. The increased roughness improves hydrophobicity slightly but introduces variability in nanoparticle distribution, which may result in uneven wettability</w:t>
      </w:r>
      <w:r w:rsidR="00C50EE2">
        <w:rPr>
          <w:lang w:val="en-ZA"/>
        </w:rPr>
        <w:t xml:space="preserve"> </w:t>
      </w:r>
      <w:r w:rsidR="00C50EE2">
        <w:rPr>
          <w:lang w:val="en-ZA"/>
        </w:rPr>
        <w:fldChar w:fldCharType="begin" w:fldLock="1"/>
      </w:r>
      <w:r w:rsidR="00C50EE2">
        <w:rPr>
          <w:lang w:val="en-ZA"/>
        </w:rPr>
        <w:instrText>ADDIN CSL_CITATION {"citationItems":[{"id":"ITEM-1","itemData":{"DOI":"10.1016/j.heliyon.2018.e00809","ISSN":"24058440","abstract":"Generally, increasing the hydrophobicity of filter media leads to enhanced oil removal by filtration. In this study, the hydrophobicity of quartz sand filter media was increased by modifying the particles with titanate and silane coupling agents (DN101 and KH550) by dry processing. The results show that the quartz sand particle surfaces were uniformly covered with the coupling agents after surface modification, and many fine particles were observed. The optimised parameters for the surface modification procedure were a DN101:KH550 ratio of 1:2, total coupling agent amount of 1.0 wt%, reaction temperature of 60 °C and reaction time of 50 min. Under these conditions, the water contact angle on the filter media surface increased from 40.1° to 82.9° and the effluent oil concentration decreased from 4.74 mg/L for the unmodified filter media to 2.99 mg/L for the modified filter media when the influent oil concentration was 17.3 mg/L. X-ray photoelectron spectroscopy and Fourier transform infrared spectroscopy results show that DN101 and KH550 formed chemical bonds with the quartz sand surface groups, resulting in the formation of a uniform, stable coating on the surface.","author":[{"dropping-particle":"","family":"Yue","given":"Cheng","non-dropping-particle":"","parse-names":false,"suffix":""},{"dropping-particle":"","family":"Liu","given":"Jianlin","non-dropping-particle":"","parse-names":false,"suffix":""},{"dropping-particle":"","family":"Zhang","given":"Hongwei","non-dropping-particle":"","parse-names":false,"suffix":""},{"dropping-particle":"","family":"Dai","given":"Liang","non-dropping-particle":"","parse-names":false,"suffix":""},{"dropping-particle":"","family":"Wei","given":"Bigui","non-dropping-particle":"","parse-names":false,"suffix":""},{"dropping-particle":"","family":"Chang","given":"Qing","non-dropping-particle":"","parse-names":false,"suffix":""}],"container-title":"Heliyon","id":"ITEM-1","issue":"9","issued":{"date-parts":[["2018"]]},"page":"e00809","publisher":"Elsevier Ltd","title":"Increasing the hydrophobicity of filter medium particles for oily water treatment using coupling agents","type":"article-journal","volume":"4"},"uris":["http://www.mendeley.com/documents/?uuid=97864af2-96a9-4efd-a8cd-4b95328adc1f"]},{"id":"ITEM-2","itemData":{"DOI":"10.1016/j.colsurfa.2023.132812","ISSN":"18734359","abstract":"Bentonite clay-coated and silane-modified hydrophobic composite membranes were prepared on the ceramic support by facile sol-gel deposition route to effectively separate various oil-water colloidal solutions. This study explores the correlation of silane content involved in optimizing and modifying surface hydrophobicity, membrane pore characteristics, and the solvent permeation properties in terms of oil permeation rate and water rejection (%) in oil-water emulsion solutions. Membrane surface modifications with relatively higher silane content (</w:instrText>
      </w:r>
      <w:r w:rsidR="00C50EE2">
        <w:rPr>
          <w:rFonts w:ascii="Cambria Math" w:hAnsi="Cambria Math" w:cs="Cambria Math"/>
          <w:lang w:val="en-ZA"/>
        </w:rPr>
        <w:instrText>∼</w:instrText>
      </w:r>
      <w:r w:rsidR="00C50EE2">
        <w:rPr>
          <w:lang w:val="en-ZA"/>
        </w:rPr>
        <w:instrText>15%) reduced the membrane pores extensively, increasing the water rejection properties but the oil flux was reduced modestly. The oil flux increases with the introduction of reduced silane content (</w:instrText>
      </w:r>
      <w:r w:rsidR="00C50EE2">
        <w:rPr>
          <w:rFonts w:ascii="Cambria Math" w:hAnsi="Cambria Math" w:cs="Cambria Math"/>
          <w:lang w:val="en-ZA"/>
        </w:rPr>
        <w:instrText>∼</w:instrText>
      </w:r>
      <w:r w:rsidR="00C50EE2">
        <w:rPr>
          <w:lang w:val="en-ZA"/>
        </w:rPr>
        <w:instrText xml:space="preserve">2%) but the water rejection properties were compromised. Silane: solvent ratio of 1:100 (silane loading </w:instrText>
      </w:r>
      <w:r w:rsidR="00C50EE2">
        <w:rPr>
          <w:rFonts w:ascii="Cambria Math" w:hAnsi="Cambria Math" w:cs="Cambria Math"/>
          <w:lang w:val="en-ZA"/>
        </w:rPr>
        <w:instrText>∼</w:instrText>
      </w:r>
      <w:r w:rsidR="00C50EE2">
        <w:rPr>
          <w:lang w:val="en-ZA"/>
        </w:rPr>
        <w:instrText>10%) proved to be efficient for the separation (94–99%) of various hydrocarbons such as hexane, toluene, cyclohexane, and heptane from emulsified solutions with permeate flux of 25–40 Lm−2h−1. Cake filtration model was found suitable to explain the membrane fouling. The optimized membrane also recorded a minimal loss of hydrophobicity and mechanical strength enduring oil atmosphere and corrosive environments. The overall study supported by suitable physicochemical material characterizing techniques reveals that optimizing silane concentration in bentonite-based clay composite membrane surface modification can be an effective oil/water separation strategy.","author":[{"dropping-particle":"","family":"Basak","given":"Somjyoti","non-dropping-particle":"","parse-names":false,"suffix":""},{"dropping-particle":"","family":"Barma","given":"Sanjib","non-dropping-particle":"","parse-names":false,"suffix":""},{"dropping-particle":"","family":"Majumdar","given":"Swachchha","non-dropping-particle":"","parse-names":false,"suffix":""},{"dropping-particle":"","family":"Ghosh","given":"Sourja","non-dropping-particle":"","parse-names":false,"suffix":""}],"container-title":"Colloids and Surfaces A: Physicochemical and Engineering Aspects","id":"ITEM-2","issued":{"date-parts":[["2024"]]},"page":"132812","publisher":"Elsevier B.V.","title":"Silane-modified bentonite clay-coated membrane development on ceramic support for oil/water emulsion separation using tuning of hydrophobicity","type":"article-journal","volume":"681"},"uris":["http://www.mendeley.com/documents/?uuid=7678ee4f-3fb7-471f-a1dd-da916b9ba7cb"]}],"mendeley":{"formattedCitation":"[24,25]","plainTextFormattedCitation":"[24,25]","previouslyFormattedCitation":"[24,25]"},"properties":{"noteIndex":0},"schema":"https://github.com/citation-style-language/schema/raw/master/csl-citation.json"}</w:instrText>
      </w:r>
      <w:r w:rsidR="00C50EE2">
        <w:rPr>
          <w:lang w:val="en-ZA"/>
        </w:rPr>
        <w:fldChar w:fldCharType="separate"/>
      </w:r>
      <w:r w:rsidR="00C50EE2" w:rsidRPr="00C50EE2">
        <w:rPr>
          <w:noProof/>
          <w:lang w:val="en-ZA"/>
        </w:rPr>
        <w:t>[24,25]</w:t>
      </w:r>
      <w:r w:rsidR="00C50EE2">
        <w:rPr>
          <w:lang w:val="en-ZA"/>
        </w:rPr>
        <w:fldChar w:fldCharType="end"/>
      </w:r>
      <w:r w:rsidRPr="00C04192">
        <w:rPr>
          <w:lang w:val="en-ZA"/>
        </w:rPr>
        <w:t>. The inter-separation distance becomes narrower, and although the hydrophobic properties are maintained, the balance seen in the first coating is slightly diminished.</w:t>
      </w:r>
    </w:p>
    <w:p w14:paraId="7D052B79" w14:textId="77777777" w:rsidR="00C04192" w:rsidRPr="00C04192" w:rsidRDefault="00C04192" w:rsidP="00C04192">
      <w:pPr>
        <w:rPr>
          <w:lang w:val="en-ZA"/>
        </w:rPr>
      </w:pPr>
    </w:p>
    <w:p w14:paraId="7993635E" w14:textId="7ED8562F" w:rsidR="001B6C2E" w:rsidRDefault="00C04192" w:rsidP="001B6C2E">
      <w:pPr>
        <w:keepNext/>
        <w:jc w:val="center"/>
      </w:pPr>
      <w:r>
        <w:rPr>
          <w:noProof/>
        </w:rPr>
        <w:drawing>
          <wp:inline distT="0" distB="0" distL="0" distR="0" wp14:anchorId="4C6F3C63" wp14:editId="7A10A93A">
            <wp:extent cx="3076575" cy="2459990"/>
            <wp:effectExtent l="0" t="0" r="9525" b="0"/>
            <wp:docPr id="449142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42368" name=""/>
                    <pic:cNvPicPr/>
                  </pic:nvPicPr>
                  <pic:blipFill>
                    <a:blip r:embed="rId18"/>
                    <a:stretch>
                      <a:fillRect/>
                    </a:stretch>
                  </pic:blipFill>
                  <pic:spPr>
                    <a:xfrm>
                      <a:off x="0" y="0"/>
                      <a:ext cx="3076575" cy="2459990"/>
                    </a:xfrm>
                    <a:prstGeom prst="rect">
                      <a:avLst/>
                    </a:prstGeom>
                  </pic:spPr>
                </pic:pic>
              </a:graphicData>
            </a:graphic>
          </wp:inline>
        </w:drawing>
      </w:r>
    </w:p>
    <w:p w14:paraId="5BBA7110" w14:textId="77777777" w:rsidR="001B6C2E" w:rsidRDefault="001B6C2E" w:rsidP="001B6C2E">
      <w:pPr>
        <w:keepNext/>
        <w:jc w:val="center"/>
      </w:pPr>
    </w:p>
    <w:p w14:paraId="26E49C87" w14:textId="42567416" w:rsidR="00CB5EF4" w:rsidRDefault="001B6C2E" w:rsidP="001B6C2E">
      <w:pPr>
        <w:pStyle w:val="Caption"/>
        <w:jc w:val="center"/>
        <w:rPr>
          <w:rFonts w:ascii="Times New Roman" w:hAnsi="Times New Roman" w:cs="Times New Roman"/>
          <w:i w:val="0"/>
          <w:iCs w:val="0"/>
          <w:color w:val="auto"/>
          <w:sz w:val="20"/>
          <w:szCs w:val="20"/>
        </w:rPr>
      </w:pPr>
      <w:r w:rsidRPr="001B6C2E">
        <w:rPr>
          <w:rFonts w:ascii="Times New Roman" w:hAnsi="Times New Roman" w:cs="Times New Roman"/>
          <w:b/>
          <w:bCs/>
          <w:i w:val="0"/>
          <w:iCs w:val="0"/>
          <w:color w:val="auto"/>
          <w:sz w:val="20"/>
          <w:szCs w:val="20"/>
        </w:rPr>
        <w:t xml:space="preserve">Figure </w:t>
      </w:r>
      <w:r w:rsidRPr="001B6C2E">
        <w:rPr>
          <w:rFonts w:ascii="Times New Roman" w:hAnsi="Times New Roman" w:cs="Times New Roman"/>
          <w:b/>
          <w:bCs/>
          <w:i w:val="0"/>
          <w:iCs w:val="0"/>
          <w:color w:val="auto"/>
          <w:sz w:val="20"/>
          <w:szCs w:val="20"/>
        </w:rPr>
        <w:fldChar w:fldCharType="begin"/>
      </w:r>
      <w:r w:rsidRPr="001B6C2E">
        <w:rPr>
          <w:rFonts w:ascii="Times New Roman" w:hAnsi="Times New Roman" w:cs="Times New Roman"/>
          <w:b/>
          <w:bCs/>
          <w:i w:val="0"/>
          <w:iCs w:val="0"/>
          <w:color w:val="auto"/>
          <w:sz w:val="20"/>
          <w:szCs w:val="20"/>
        </w:rPr>
        <w:instrText xml:space="preserve"> SEQ Figure \* ARABIC </w:instrText>
      </w:r>
      <w:r w:rsidRPr="001B6C2E">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8</w:t>
      </w:r>
      <w:r w:rsidRPr="001B6C2E">
        <w:rPr>
          <w:rFonts w:ascii="Times New Roman" w:hAnsi="Times New Roman" w:cs="Times New Roman"/>
          <w:b/>
          <w:bCs/>
          <w:i w:val="0"/>
          <w:iCs w:val="0"/>
          <w:color w:val="auto"/>
          <w:sz w:val="20"/>
          <w:szCs w:val="20"/>
        </w:rPr>
        <w:fldChar w:fldCharType="end"/>
      </w:r>
      <w:r w:rsidRPr="001B6C2E">
        <w:rPr>
          <w:rFonts w:ascii="Times New Roman" w:hAnsi="Times New Roman" w:cs="Times New Roman"/>
          <w:b/>
          <w:bCs/>
          <w:i w:val="0"/>
          <w:iCs w:val="0"/>
          <w:color w:val="auto"/>
          <w:sz w:val="20"/>
          <w:szCs w:val="20"/>
        </w:rPr>
        <w:t>.</w:t>
      </w:r>
      <w:r>
        <w:rPr>
          <w:rFonts w:ascii="Times New Roman" w:hAnsi="Times New Roman" w:cs="Times New Roman"/>
          <w:b/>
          <w:bCs/>
          <w:i w:val="0"/>
          <w:iCs w:val="0"/>
          <w:color w:val="auto"/>
          <w:sz w:val="20"/>
          <w:szCs w:val="20"/>
        </w:rPr>
        <w:t xml:space="preserve"> </w:t>
      </w:r>
      <w:r w:rsidRPr="001B6C2E">
        <w:rPr>
          <w:rFonts w:ascii="Times New Roman" w:hAnsi="Times New Roman" w:cs="Times New Roman"/>
          <w:i w:val="0"/>
          <w:iCs w:val="0"/>
          <w:color w:val="auto"/>
          <w:sz w:val="20"/>
          <w:szCs w:val="20"/>
        </w:rPr>
        <w:t>P</w:t>
      </w:r>
      <w:r w:rsidR="00CB0C5C" w:rsidRPr="001B6C2E">
        <w:rPr>
          <w:rFonts w:ascii="Times New Roman" w:hAnsi="Times New Roman" w:cs="Times New Roman"/>
          <w:i w:val="0"/>
          <w:iCs w:val="0"/>
          <w:color w:val="auto"/>
          <w:sz w:val="20"/>
          <w:szCs w:val="20"/>
        </w:rPr>
        <w:t>resents the Scanning Electron Microscopy (SEM) image of the quartz material surface after the third coating with hydrophobic nanoparticles, showcasing the progressive build-up of the coating layer to improve surface wettability</w:t>
      </w:r>
    </w:p>
    <w:p w14:paraId="4B71DD86" w14:textId="2B7FFB89" w:rsidR="00C04192" w:rsidRPr="00C04192" w:rsidRDefault="00C04192" w:rsidP="00C04192">
      <w:pPr>
        <w:rPr>
          <w:lang w:val="en-ZA"/>
        </w:rPr>
      </w:pPr>
      <w:r>
        <w:rPr>
          <w:lang w:val="en-ZA"/>
        </w:rPr>
        <w:t xml:space="preserve">Figure 8 shows third coating: </w:t>
      </w:r>
      <w:r w:rsidRPr="00C04192">
        <w:rPr>
          <w:lang w:val="en-ZA"/>
        </w:rPr>
        <w:t>In the third coating, the SEM image indicates a significant increase in surface roughness due to the accumulation of nanoparticles. Clustering becomes more pronounced, and the surface starts to lose its uniformity. The increased roughness can create localized areas where water droplets adhere, reducing overall wettability. Additionally, the nanoparticle orientation is less controlled, leading to uneven distribution</w:t>
      </w:r>
      <w:r w:rsidR="00C50EE2">
        <w:rPr>
          <w:lang w:val="en-ZA"/>
        </w:rPr>
        <w:t xml:space="preserve"> </w:t>
      </w:r>
      <w:r w:rsidR="00C50EE2">
        <w:rPr>
          <w:lang w:val="en-ZA"/>
        </w:rPr>
        <w:fldChar w:fldCharType="begin" w:fldLock="1"/>
      </w:r>
      <w:r w:rsidR="00C50EE2">
        <w:rPr>
          <w:lang w:val="en-ZA"/>
        </w:rPr>
        <w:instrText xml:space="preserve">ADDIN CSL_CITATION {"citationItems":[{"id":"ITEM-1","itemData":{"DOI":"10.1016/j.memsci.2019.04.024","ISSN":"18733123","abstract":"Effective separation of oil/water emulsion and removal of organic dyes are of critical importance for environmental protection. In this study, superhydrophobic polyacrylonitrile (PAN) nanofibrous membrane embedded Au nanoparticles (NPs) in cavity has been prepared through a facile electrospinning and subsequent surface-modification strategy. The as-prepared Au@ZIF-8@PAN-TD membrane exhibited a water contact angle (WCA: </w:instrText>
      </w:r>
      <w:r w:rsidR="00C50EE2">
        <w:rPr>
          <w:rFonts w:ascii="Cambria Math" w:hAnsi="Cambria Math" w:cs="Cambria Math"/>
          <w:lang w:val="en-ZA"/>
        </w:rPr>
        <w:instrText>∼</w:instrText>
      </w:r>
      <w:r w:rsidR="00C50EE2">
        <w:rPr>
          <w:lang w:val="en-ZA"/>
        </w:rPr>
        <w:instrText xml:space="preserve">155.5°), an oil contact angle in air (OCA: </w:instrText>
      </w:r>
      <w:r w:rsidR="00C50EE2">
        <w:rPr>
          <w:rFonts w:ascii="Cambria Math" w:hAnsi="Cambria Math" w:cs="Cambria Math"/>
          <w:lang w:val="en-ZA"/>
        </w:rPr>
        <w:instrText>∼</w:instrText>
      </w:r>
      <w:r w:rsidR="00C50EE2">
        <w:rPr>
          <w:lang w:val="en-ZA"/>
        </w:rPr>
        <w:instrText>0°) and a WCA under-oil (</w:instrText>
      </w:r>
      <w:r w:rsidR="00C50EE2">
        <w:rPr>
          <w:rFonts w:ascii="Cambria Math" w:hAnsi="Cambria Math" w:cs="Cambria Math"/>
          <w:lang w:val="en-ZA"/>
        </w:rPr>
        <w:instrText>∼</w:instrText>
      </w:r>
      <w:r w:rsidR="00C50EE2">
        <w:rPr>
          <w:lang w:val="en-ZA"/>
        </w:rPr>
        <w:instrText>158°). The composite membrane has demonstrated its ability to achieve efficient water/oil separation and in situ catalytic degradation of organic dye (e.g. 4-nitrophenol). The superhydrophobic Au@ZIF-8@PAN-TD membrane with a hierarchical porous structure would open an avenue for the purification of polluted oily water system.","author":[{"dropping-particle":"","family":"Zhang","given":"Zhijie","non-dropping-particle":"","parse-names":false,"suffix":""},{"dropping-particle":"","family":"Yang","given":"Yan","non-dropping-particle":"","parse-names":false,"suffix":""},{"dropping-particle":"","family":"Li","given":"Congling","non-dropping-particle":"","parse-names":false,"suffix":""},{"dropping-particle":"","family":"Liu","given":"Rui","non-dropping-particle":"","parse-names":false,"suffix":""}],"container-title":"Journal of Membrane Science","id":"ITEM-1","issue":"April","issued":{"date-parts":[["2019"]]},"page":"350-357","publisher":"Elsevier B.V.","title":"Porous nanofibrous superhydrophobic membrane with embedded Au nanoparticles for the integration of oil/water separation and catalytic degradation","type":"article-journal","volume":"582"},"uris":["http://www.mendeley.com/documents/?uuid=e380f356-9efa-4b9c-a02a-5b19dc770a05"]}],"mendeley":{"formattedCitation":"[26]","plainTextFormattedCitation":"[26]","previouslyFormattedCitation":"[26]"},"properties":{"noteIndex":0},"schema":"https://github.com/citation-style-language/schema/raw/master/csl-citation.json"}</w:instrText>
      </w:r>
      <w:r w:rsidR="00C50EE2">
        <w:rPr>
          <w:lang w:val="en-ZA"/>
        </w:rPr>
        <w:fldChar w:fldCharType="separate"/>
      </w:r>
      <w:r w:rsidR="00C50EE2" w:rsidRPr="00C50EE2">
        <w:rPr>
          <w:noProof/>
          <w:lang w:val="en-ZA"/>
        </w:rPr>
        <w:t>[26]</w:t>
      </w:r>
      <w:r w:rsidR="00C50EE2">
        <w:rPr>
          <w:lang w:val="en-ZA"/>
        </w:rPr>
        <w:fldChar w:fldCharType="end"/>
      </w:r>
      <w:r w:rsidRPr="00C04192">
        <w:rPr>
          <w:lang w:val="en-ZA"/>
        </w:rPr>
        <w:t xml:space="preserve">. The inter-separation </w:t>
      </w:r>
      <w:r w:rsidRPr="00C04192">
        <w:rPr>
          <w:lang w:val="en-ZA"/>
        </w:rPr>
        <w:lastRenderedPageBreak/>
        <w:t>distance decreases further, and the material begins to approach saturation in terms of coating efficiency.</w:t>
      </w:r>
    </w:p>
    <w:p w14:paraId="698F87B7" w14:textId="77777777" w:rsidR="00C04192" w:rsidRPr="00C04192" w:rsidRDefault="00C04192" w:rsidP="00C04192"/>
    <w:p w14:paraId="52D6A723" w14:textId="77777777" w:rsidR="00CB0C5C" w:rsidRDefault="00CB0C5C" w:rsidP="00CB0C5C">
      <w:pPr>
        <w:jc w:val="center"/>
        <w:rPr>
          <w:rFonts w:ascii="Times New Roman" w:hAnsi="Times New Roman" w:cs="Times New Roman"/>
        </w:rPr>
      </w:pPr>
    </w:p>
    <w:p w14:paraId="2A34D0C1" w14:textId="77777777" w:rsidR="001B6C2E" w:rsidRDefault="001B6C2E" w:rsidP="00121E02">
      <w:pPr>
        <w:keepNext/>
        <w:tabs>
          <w:tab w:val="left" w:pos="280"/>
        </w:tabs>
        <w:jc w:val="center"/>
      </w:pPr>
      <w:r>
        <w:rPr>
          <w:noProof/>
        </w:rPr>
        <w:drawing>
          <wp:inline distT="0" distB="0" distL="0" distR="0" wp14:anchorId="165E2121" wp14:editId="502B5C5C">
            <wp:extent cx="2827780" cy="2272146"/>
            <wp:effectExtent l="0" t="0" r="0" b="0"/>
            <wp:docPr id="206559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9172" name=""/>
                    <pic:cNvPicPr/>
                  </pic:nvPicPr>
                  <pic:blipFill>
                    <a:blip r:embed="rId19"/>
                    <a:stretch>
                      <a:fillRect/>
                    </a:stretch>
                  </pic:blipFill>
                  <pic:spPr>
                    <a:xfrm>
                      <a:off x="0" y="0"/>
                      <a:ext cx="2834602" cy="2277627"/>
                    </a:xfrm>
                    <a:prstGeom prst="rect">
                      <a:avLst/>
                    </a:prstGeom>
                  </pic:spPr>
                </pic:pic>
              </a:graphicData>
            </a:graphic>
          </wp:inline>
        </w:drawing>
      </w:r>
    </w:p>
    <w:p w14:paraId="0CB824EF" w14:textId="77777777" w:rsidR="00121E02" w:rsidRDefault="00121E02" w:rsidP="00121E02">
      <w:pPr>
        <w:keepNext/>
        <w:tabs>
          <w:tab w:val="left" w:pos="280"/>
        </w:tabs>
        <w:jc w:val="center"/>
      </w:pPr>
    </w:p>
    <w:p w14:paraId="59686DF5" w14:textId="249C55FB" w:rsidR="00CB0C5C" w:rsidRDefault="001B6C2E" w:rsidP="00121E02">
      <w:pPr>
        <w:pStyle w:val="Caption"/>
        <w:jc w:val="center"/>
        <w:rPr>
          <w:rFonts w:ascii="Times New Roman" w:hAnsi="Times New Roman" w:cs="Times New Roman"/>
        </w:rPr>
      </w:pPr>
      <w:r w:rsidRPr="00121E02">
        <w:rPr>
          <w:rFonts w:ascii="Times New Roman" w:hAnsi="Times New Roman" w:cs="Times New Roman"/>
          <w:b/>
          <w:bCs/>
          <w:i w:val="0"/>
          <w:iCs w:val="0"/>
          <w:color w:val="auto"/>
          <w:sz w:val="20"/>
          <w:szCs w:val="20"/>
        </w:rPr>
        <w:t xml:space="preserve">Figure </w:t>
      </w:r>
      <w:r w:rsidRPr="00121E02">
        <w:rPr>
          <w:rFonts w:ascii="Times New Roman" w:hAnsi="Times New Roman" w:cs="Times New Roman"/>
          <w:b/>
          <w:bCs/>
          <w:i w:val="0"/>
          <w:iCs w:val="0"/>
          <w:color w:val="auto"/>
          <w:sz w:val="20"/>
          <w:szCs w:val="20"/>
        </w:rPr>
        <w:fldChar w:fldCharType="begin"/>
      </w:r>
      <w:r w:rsidRPr="00121E02">
        <w:rPr>
          <w:rFonts w:ascii="Times New Roman" w:hAnsi="Times New Roman" w:cs="Times New Roman"/>
          <w:b/>
          <w:bCs/>
          <w:i w:val="0"/>
          <w:iCs w:val="0"/>
          <w:color w:val="auto"/>
          <w:sz w:val="20"/>
          <w:szCs w:val="20"/>
        </w:rPr>
        <w:instrText xml:space="preserve"> SEQ Figure \* ARABIC </w:instrText>
      </w:r>
      <w:r w:rsidRPr="00121E02">
        <w:rPr>
          <w:rFonts w:ascii="Times New Roman" w:hAnsi="Times New Roman" w:cs="Times New Roman"/>
          <w:b/>
          <w:bCs/>
          <w:i w:val="0"/>
          <w:iCs w:val="0"/>
          <w:color w:val="auto"/>
          <w:sz w:val="20"/>
          <w:szCs w:val="20"/>
        </w:rPr>
        <w:fldChar w:fldCharType="separate"/>
      </w:r>
      <w:r w:rsidRPr="00121E02">
        <w:rPr>
          <w:rFonts w:ascii="Times New Roman" w:hAnsi="Times New Roman" w:cs="Times New Roman"/>
          <w:b/>
          <w:bCs/>
          <w:i w:val="0"/>
          <w:iCs w:val="0"/>
          <w:noProof/>
          <w:color w:val="auto"/>
          <w:sz w:val="20"/>
          <w:szCs w:val="20"/>
        </w:rPr>
        <w:t>9</w:t>
      </w:r>
      <w:r w:rsidRPr="00121E02">
        <w:rPr>
          <w:rFonts w:ascii="Times New Roman" w:hAnsi="Times New Roman" w:cs="Times New Roman"/>
          <w:b/>
          <w:bCs/>
          <w:i w:val="0"/>
          <w:iCs w:val="0"/>
          <w:color w:val="auto"/>
          <w:sz w:val="20"/>
          <w:szCs w:val="20"/>
        </w:rPr>
        <w:fldChar w:fldCharType="end"/>
      </w:r>
      <w:r w:rsidRPr="00121E02">
        <w:rPr>
          <w:rFonts w:ascii="Times New Roman" w:hAnsi="Times New Roman" w:cs="Times New Roman"/>
          <w:b/>
          <w:bCs/>
          <w:i w:val="0"/>
          <w:iCs w:val="0"/>
          <w:color w:val="auto"/>
          <w:sz w:val="20"/>
          <w:szCs w:val="20"/>
        </w:rPr>
        <w:t>.</w:t>
      </w:r>
      <w:r>
        <w:rPr>
          <w:rFonts w:ascii="Times New Roman" w:hAnsi="Times New Roman" w:cs="Times New Roman"/>
          <w:i w:val="0"/>
          <w:iCs w:val="0"/>
          <w:color w:val="auto"/>
          <w:sz w:val="20"/>
          <w:szCs w:val="20"/>
        </w:rPr>
        <w:t xml:space="preserve"> </w:t>
      </w:r>
      <w:r w:rsidR="00121E02">
        <w:rPr>
          <w:rFonts w:ascii="Times New Roman" w:hAnsi="Times New Roman" w:cs="Times New Roman"/>
          <w:i w:val="0"/>
          <w:iCs w:val="0"/>
          <w:color w:val="auto"/>
          <w:sz w:val="20"/>
          <w:szCs w:val="20"/>
        </w:rPr>
        <w:t>D</w:t>
      </w:r>
      <w:r w:rsidR="00121E02" w:rsidRPr="00121E02">
        <w:rPr>
          <w:rFonts w:ascii="Times New Roman" w:hAnsi="Times New Roman" w:cs="Times New Roman"/>
          <w:i w:val="0"/>
          <w:iCs w:val="0"/>
          <w:color w:val="auto"/>
          <w:sz w:val="20"/>
          <w:szCs w:val="20"/>
        </w:rPr>
        <w:t>isplays the Scanning Electron Microscopy (SEM) image of the quartz material surface after the fourth coating with hydrophobic nanoparticles, illustrating the enhanced and uniform coverage achieved through multiple coatings to optimize surface wettability</w:t>
      </w:r>
    </w:p>
    <w:p w14:paraId="4F56519A" w14:textId="34BDCCFE" w:rsidR="00C04192" w:rsidRPr="00C04192" w:rsidRDefault="00C04192" w:rsidP="00C04192">
      <w:pPr>
        <w:tabs>
          <w:tab w:val="left" w:pos="280"/>
        </w:tabs>
        <w:rPr>
          <w:rFonts w:ascii="Times New Roman" w:hAnsi="Times New Roman" w:cs="Times New Roman"/>
          <w:lang w:val="en-ZA"/>
        </w:rPr>
      </w:pPr>
      <w:r>
        <w:rPr>
          <w:rFonts w:ascii="Times New Roman" w:hAnsi="Times New Roman" w:cs="Times New Roman"/>
          <w:lang w:val="en-ZA"/>
        </w:rPr>
        <w:t xml:space="preserve">Figure 9 shows fourth coating: </w:t>
      </w:r>
      <w:r w:rsidRPr="00C04192">
        <w:rPr>
          <w:rFonts w:ascii="Times New Roman" w:hAnsi="Times New Roman" w:cs="Times New Roman"/>
          <w:lang w:val="en-ZA"/>
        </w:rPr>
        <w:t>The fourth coating shows a densely packed layer of nanoparticles with significant clustering and irregularities. The excessive accumulation of nanoparticles leads to reduced surface smoothness, and the increased roughness negatively affects wettability</w:t>
      </w:r>
      <w:r w:rsidR="00C50EE2">
        <w:rPr>
          <w:rFonts w:ascii="Times New Roman" w:hAnsi="Times New Roman" w:cs="Times New Roman"/>
          <w:lang w:val="en-ZA"/>
        </w:rPr>
        <w:t xml:space="preserve"> </w:t>
      </w:r>
      <w:r w:rsidR="00C50EE2">
        <w:rPr>
          <w:rFonts w:ascii="Times New Roman" w:hAnsi="Times New Roman" w:cs="Times New Roman"/>
          <w:lang w:val="en-ZA"/>
        </w:rPr>
        <w:fldChar w:fldCharType="begin" w:fldLock="1"/>
      </w:r>
      <w:r w:rsidR="00961EA4">
        <w:rPr>
          <w:rFonts w:ascii="Times New Roman" w:hAnsi="Times New Roman" w:cs="Times New Roman"/>
          <w:lang w:val="en-ZA"/>
        </w:rPr>
        <w:instrText>ADDIN CSL_CITATION {"citationItems":[{"id":"ITEM-1","itemData":{"DOI":"10.1016/j.seppur.2021.120031","ISSN":"18733794","abstract":"Membrane separation technology is playing a prominent role in treatment of suspension wastewater, but its efficiency is limited by membrane fouling. Here, a self-cleaning piezoelectric ceramic membrane (PCM) coupled with in-situ ultrasound functionality was developed. The PCM consists of a porous piezoelectric quartz (ɑ-SiO2) support and a ZrO2 microfiltration (MF) layer. The MF layer serves as a separation membrane, and it possesses a smooth and negatively charged surface, which is beneficial to weaken the interaction between membrane and foulants. The ɑ-SiO2 support provides mechanical strength to the membrane and can generate internal ultrasound to mitigate fouling. In MF process, particulate foulants are inevitably deposited on the membrane surface, forming a cake whose permeance resistance is 3.9 times of pristine membrane. With the assistance of internal ultrasound, the thickness of cake decreased from 64.2 to 48.4 μm, and porosity increased from 39.5% to 42.5% due to the formation of shear force. Higher cross-flow velocity and more vigorous ultrasound intensity are helpful to strengthen turbulence, which can improve stationary membrane flux by 41.7%. The fouling removal efficiency of internal ultrasound is superior to the outer one, and the economic evaluation indicates that the cost of water production can be saved in the presence of ultrasound.","author":[{"dropping-particle":"","family":"Mao","given":"Hengyang","non-dropping-particle":"","parse-names":false,"suffix":""},{"dropping-particle":"","family":"Fan","given":"Wan","non-dropping-particle":"","parse-names":false,"suffix":""},{"dropping-particle":"","family":"Cao","given":"Hongquan","non-dropping-particle":"","parse-names":false,"suffix":""},{"dropping-particle":"","family":"Chen","given":"Xianfu","non-dropping-particle":"","parse-names":false,"suffix":""},{"dropping-particle":"","family":"Qiu","given":"Minghui","non-dropping-particle":"","parse-names":false,"suffix":""},{"dropping-particle":"","family":"Verweij","given":"Hendrik","non-dropping-particle":"","parse-names":false,"suffix":""},{"dropping-particle":"","family":"Fan","given":"Yiqun","non-dropping-particle":"","parse-names":false,"suffix":""}],"container-title":"Separation and Purification Technology","id":"ITEM-1","issue":"PB","issued":{"date-parts":[["2022"]]},"page":"120031","publisher":"Elsevier B.V.","title":"Self-cleaning performance of in-situ ultrasound generated by quartz-based piezoelectric membrane","type":"article-journal","volume":"282"},"uris":["http://www.mendeley.com/documents/?uuid=e752623c-3442-41fe-b83a-68dd76646396"]}],"mendeley":{"formattedCitation":"[27]","plainTextFormattedCitation":"[27]","previouslyFormattedCitation":"[27]"},"properties":{"noteIndex":0},"schema":"https://github.com/citation-style-language/schema/raw/master/csl-citation.json"}</w:instrText>
      </w:r>
      <w:r w:rsidR="00C50EE2">
        <w:rPr>
          <w:rFonts w:ascii="Times New Roman" w:hAnsi="Times New Roman" w:cs="Times New Roman"/>
          <w:lang w:val="en-ZA"/>
        </w:rPr>
        <w:fldChar w:fldCharType="separate"/>
      </w:r>
      <w:r w:rsidR="00C50EE2" w:rsidRPr="00C50EE2">
        <w:rPr>
          <w:rFonts w:ascii="Times New Roman" w:hAnsi="Times New Roman" w:cs="Times New Roman"/>
          <w:noProof/>
          <w:lang w:val="en-ZA"/>
        </w:rPr>
        <w:t>[27]</w:t>
      </w:r>
      <w:r w:rsidR="00C50EE2">
        <w:rPr>
          <w:rFonts w:ascii="Times New Roman" w:hAnsi="Times New Roman" w:cs="Times New Roman"/>
          <w:lang w:val="en-ZA"/>
        </w:rPr>
        <w:fldChar w:fldCharType="end"/>
      </w:r>
      <w:r w:rsidRPr="00C04192">
        <w:rPr>
          <w:rFonts w:ascii="Times New Roman" w:hAnsi="Times New Roman" w:cs="Times New Roman"/>
          <w:lang w:val="en-ZA"/>
        </w:rPr>
        <w:t>. The nanoparticle distribution becomes highly uneven, with some regions oversaturated and others undercoated. The inter-separation distances are minimal, and the surface morphology no longer supports optimal hydrophobicity. This stage demonstrates diminishing returns in terms of wettability improvement.</w:t>
      </w:r>
    </w:p>
    <w:p w14:paraId="7A7A41CC" w14:textId="77777777" w:rsidR="00CB0C5C" w:rsidRPr="00C04192" w:rsidRDefault="00CB0C5C" w:rsidP="00CB0C5C">
      <w:pPr>
        <w:tabs>
          <w:tab w:val="left" w:pos="280"/>
        </w:tabs>
        <w:rPr>
          <w:rFonts w:ascii="Times New Roman" w:hAnsi="Times New Roman" w:cs="Times New Roman"/>
          <w:lang w:val="en-ZA"/>
        </w:rPr>
      </w:pPr>
    </w:p>
    <w:p w14:paraId="5C06CF7F" w14:textId="7C30F26E" w:rsidR="005D655F" w:rsidRPr="005D655F" w:rsidRDefault="005D655F" w:rsidP="005D655F">
      <w:pPr>
        <w:tabs>
          <w:tab w:val="left" w:pos="280"/>
        </w:tabs>
        <w:rPr>
          <w:rFonts w:ascii="Times New Roman" w:hAnsi="Times New Roman" w:cs="Times New Roman"/>
          <w:lang w:val="en-ZA"/>
        </w:rPr>
      </w:pPr>
      <w:r w:rsidRPr="005D655F">
        <w:rPr>
          <w:rFonts w:ascii="Times New Roman" w:hAnsi="Times New Roman" w:cs="Times New Roman"/>
          <w:lang w:val="en-ZA"/>
        </w:rPr>
        <w:t>The first coating achieves the best wettability because it strikes an optimal balance between surface roughness and smoothness. Uniformly distributed nanoparticles create a consistent hydrophobic layer that enhances surface energy without introducing excessive irregularities. This configuration allows water droplets to form spherical shapes and roll off the surface effectively, maximizing separation efficiency</w:t>
      </w:r>
      <w:r w:rsidR="00961EA4">
        <w:rPr>
          <w:rFonts w:ascii="Times New Roman" w:hAnsi="Times New Roman" w:cs="Times New Roman"/>
          <w:lang w:val="en-ZA"/>
        </w:rPr>
        <w:t xml:space="preserve"> </w:t>
      </w:r>
      <w:r w:rsidR="00961EA4">
        <w:rPr>
          <w:rFonts w:ascii="Times New Roman" w:hAnsi="Times New Roman" w:cs="Times New Roman"/>
          <w:lang w:val="en-ZA"/>
        </w:rPr>
        <w:fldChar w:fldCharType="begin" w:fldLock="1"/>
      </w:r>
      <w:r w:rsidR="003D11B5">
        <w:rPr>
          <w:rFonts w:ascii="Times New Roman" w:hAnsi="Times New Roman" w:cs="Times New Roman"/>
          <w:lang w:val="en-ZA"/>
        </w:rPr>
        <w:instrText>ADDIN CSL_CITATION {"citationItems":[{"id":"ITEM-1","itemData":{"DOI":"10.1016/j.jmrt.2022.12.065","ISSN":"22387854","abstract":"The shortage of water resources and the aggravation of water pollution have become global environmental problems. The improvement of the separation performance and flux is still a key challenge that restrict the preparation of high-performance filtration membrane. The gradient structure fibrous membranes were designed and prepared using electrospinning nanofiber and polypropylene/low-melt- point polyester (PP/LPET) micro-fibrous and reinforced via needle-punching and hot-pressing. And the as-prepared membrane was functionalized and directly decorated by dopamine copolymerizes. The novel gradient membrane turned from a hydrophobic state to hydrophilic state, and had excellent mechanical and water transmission properties. Mostly importantly, the as-prepared hydrophilic gradient membranes showed durable oil-fouling repellency and the separation efficiency of oil/water mixture approximate 99% and the flux reach 10,278 ± 1512 L m-2 h-1. This method provides a feasible solution to overcome the high filtration resistance of electrospinning nanofiber membrane, as well as for the preparation of low-cost and high-performance composite membranes and structural regulation of functional membranes.","author":[{"dropping-particle":"","family":"Sun","given":"Fei","non-dropping-particle":"","parse-names":false,"suffix":""},{"dropping-particle":"","family":"Li","given":"Ting Ting","non-dropping-particle":"","parse-names":false,"suffix":""},{"dropping-particle":"","family":"Ren","given":"Hai Tao","non-dropping-particle":"","parse-names":false,"suffix":""},{"dropping-particle":"","family":"Lou","given":"Ching Wen","non-dropping-particle":"","parse-names":false,"suffix":""},{"dropping-particle":"","family":"Lin","given":"Jia Horng","non-dropping-particle":"","parse-names":false,"suffix":""}],"container-title":"Journal of Materials Research and Technology","id":"ITEM-1","issued":{"date-parts":[["2023"]]},"page":"2251-2261","publisher":"The Authors","title":"Rational design of dopamine-decorated gradient structure membrane with novel hydrophibic/underwater-oleophobic for oil/water separation","type":"article-journal","volume":"22"},"uris":["http://www.mendeley.com/documents/?uuid=13b4cd76-c053-4c0f-a0b7-333a2292f72b"]},{"id":"ITEM-2","itemData":{"DOI":"10.1016/j.memsci.2024.122546","ISSN":"18733123","abstract":"Membranes have been widely used in oil/water separation due to their high efficiency, convenient operation and low cost. However, poor fluidity of viscous oil and membrane fouling remain challenges for efficient oil/water separation using membranes. This study proposes a “two-in-one” design strategy that integrates photothermal properties and liquid-filled slippery surface into a porous membrane, aiming to address these issues. The photothermal responsive liquid-filled membrane is prepared by sequentially depositing silver nanoparticles (Ag NPs), hydrophobic modification with octadecanethiol (ODT), and filling with castor oil, on the polyethersulfone (PES) porous membrane. Under irradiation, the photothermal effect of the Ag NPs layer causes a surface temperature rise, leading to more slippery surface formed by the filled oil layer that is stably locked in the rough nanostructured underlayer; in oil/water separation, the membrane shows significantly improved oil flux, separation efficiency and fouling resistance due to the decreased oil viscosity and the excellent water repellency of the slippery liquid layer. After 10 cycles, the separation efficiency remains above 93.0%. The membrane also has perfect photothermal antibacterial and anti-biological adhesion properties. This multifunctional membrane has important prospects in the recovery of viscous oil from the ocean or wastewater and the development of energy-saving materials.","author":[{"dropping-particle":"","family":"Li","given":"Zhixin","non-dropping-particle":"","parse-names":false,"suffix":""},{"dropping-particle":"","family":"Zhao","given":"Lizhi","non-dropping-particle":"","parse-names":false,"suffix":""},{"dropping-particle":"","family":"Wang","given":"Lixian","non-dropping-particle":"","parse-names":false,"suffix":""},{"dropping-particle":"","family":"Xiao","given":"Xianglong","non-dropping-particle":"","parse-names":false,"suffix":""},{"dropping-particle":"","family":"Wang","given":"Xiaofu","non-dropping-particle":"","parse-names":false,"suffix":""},{"dropping-particle":"","family":"An","given":"Huiqin","non-dropping-particle":"","parse-names":false,"suffix":""},{"dropping-particle":"","family":"Ye","given":"Hui","non-dropping-particle":"","parse-names":false,"suffix":""},{"dropping-particle":"","family":"Xin","given":"Qingping","non-dropping-particle":"","parse-names":false,"suffix":""},{"dropping-particle":"","family":"Zhang","given":"Yuzhong","non-dropping-particle":"","parse-names":false,"suffix":""}],"container-title":"Journal of Membrane Science","id":"ITEM-2","issue":"December 2023","issued":{"date-parts":[["2024"]]},"page":"122546","publisher":"Elsevier B.V.","title":"Photothermal responsive liquid-filled membrane with anti-fouling properties for oil/water separation","type":"article-journal","volume":"696"},"uris":["http://www.mendeley.com/documents/?uuid=c2db144d-3474-4b67-acf2-39972678fea9"]},{"id":"ITEM-3","itemData":{"DOI":"10.1016/j.jwpe.2023.104066","ISSN":"22147144","abstract":"This research article investigates the fabrication of superhydrophilic graphene-based electrospun membranes for efficient oil-water separation. The study utilizes cellulose acetate (CA) as the base material for membrane fabrication, employing an electrospinning technique followed by the electrohydrodynamic atomization of graphene oxide (GO) to enhance their hydrophilicity. The surface morphology, water contact angle, and Fourier Transform Infrared (FTIR) spectra of the fabricated membranes were analyzed to assess their properties. The membrane characterization techniques revealed the successful integration of GO nanosheets on the surface of the highly porous interconnected nanofibrous matrix. The modified membranes exhibited superhydrophilicity and underwater oleophobicity. The water contact angle of the optimized GO-based electrospun CA membrane was reduced from 110° to zero within 3 s. The performance of the membranes was evaluated through oil-water separation experiments using different types of oils (such as toluene, n-decane, and hexane) in water. The results demonstrated that the graphene-based optimized membranes exhibited high separation efficiency (3820 LMH), with a water permeation flux as high as 65.5 % compared to CA membranes (2308 LMH). The efficiency of separation while using all three different oils with DI water was calculated to be &gt;99.9 %. The study provides valuable insights into the use of graphene-based membranes for oil-water separation and highlights the potential of the electrohydrodynamic atomization technique for the surface modification of membranes. The developed membranes have great potential applications in various industries, including oil and gas, chemical, and wastewater treatment.","author":[{"dropping-particle":"","family":"Francis","given":"Lijo","non-dropping-particle":"","parse-names":false,"suffix":""},{"dropping-particle":"","family":"Mohammed","given":"Shabin","non-dropping-particle":"","parse-names":false,"suffix":""},{"dropping-particle":"","family":"Hashaikeh","given":"Raed","non-dropping-particle":"","parse-names":false,"suffix":""},{"dropping-particle":"","family":"Hilal","given":"Nidal","non-dropping-particle":"","parse-names":false,"suffix":""}],"container-title":"Journal of Water Process Engineering","id":"ITEM-3","issue":"July","issued":{"date-parts":[["2023"]]},"page":"104066","publisher":"Elsevier Ltd","title":"Fabrication and characterization of superhydrophilic graphene-based electrospun membranes for efficient oil-water separation","type":"article-journal","volume":"54"},"uris":["http://www.mendeley.com/documents/?uuid=46325c6b-a142-4303-b44c-cff068f1693e"]}],"mendeley":{"formattedCitation":"[28–30]","plainTextFormattedCitation":"[28–30]","previouslyFormattedCitation":"[28–30]"},"properties":{"noteIndex":0},"schema":"https://github.com/citation-style-language/schema/raw/master/csl-citation.json"}</w:instrText>
      </w:r>
      <w:r w:rsidR="00961EA4">
        <w:rPr>
          <w:rFonts w:ascii="Times New Roman" w:hAnsi="Times New Roman" w:cs="Times New Roman"/>
          <w:lang w:val="en-ZA"/>
        </w:rPr>
        <w:fldChar w:fldCharType="separate"/>
      </w:r>
      <w:r w:rsidR="00961EA4" w:rsidRPr="00961EA4">
        <w:rPr>
          <w:rFonts w:ascii="Times New Roman" w:hAnsi="Times New Roman" w:cs="Times New Roman"/>
          <w:noProof/>
          <w:lang w:val="en-ZA"/>
        </w:rPr>
        <w:t>[28–30]</w:t>
      </w:r>
      <w:r w:rsidR="00961EA4">
        <w:rPr>
          <w:rFonts w:ascii="Times New Roman" w:hAnsi="Times New Roman" w:cs="Times New Roman"/>
          <w:lang w:val="en-ZA"/>
        </w:rPr>
        <w:fldChar w:fldCharType="end"/>
      </w:r>
      <w:r w:rsidRPr="005D655F">
        <w:rPr>
          <w:rFonts w:ascii="Times New Roman" w:hAnsi="Times New Roman" w:cs="Times New Roman"/>
          <w:lang w:val="en-ZA"/>
        </w:rPr>
        <w:t>.</w:t>
      </w:r>
      <w:r>
        <w:rPr>
          <w:rFonts w:ascii="Times New Roman" w:hAnsi="Times New Roman" w:cs="Times New Roman"/>
          <w:lang w:val="en-ZA"/>
        </w:rPr>
        <w:t xml:space="preserve"> </w:t>
      </w:r>
      <w:r w:rsidRPr="005D655F">
        <w:rPr>
          <w:rFonts w:ascii="Times New Roman" w:hAnsi="Times New Roman" w:cs="Times New Roman"/>
          <w:lang w:val="en-ZA"/>
        </w:rPr>
        <w:t>In subsequent coatings, increased roughness and clustering disrupt the uniformity of the hydrophobic layer, creating localized hydrophilic regions where water may adhere. This phenomenon reduces the effectiveness of the surface in repelling water, explaining why the first coating demonstrates superior performance.</w:t>
      </w:r>
    </w:p>
    <w:p w14:paraId="0C710EA1" w14:textId="77777777" w:rsidR="005D655F" w:rsidRDefault="005D655F" w:rsidP="005D655F">
      <w:pPr>
        <w:tabs>
          <w:tab w:val="left" w:pos="280"/>
        </w:tabs>
        <w:rPr>
          <w:rFonts w:ascii="Times New Roman" w:hAnsi="Times New Roman" w:cs="Times New Roman"/>
          <w:lang w:val="en-ZA"/>
        </w:rPr>
      </w:pPr>
    </w:p>
    <w:p w14:paraId="1352E79D" w14:textId="6A8F099F" w:rsidR="00CB0C5C" w:rsidRDefault="005D655F" w:rsidP="005D655F">
      <w:pPr>
        <w:tabs>
          <w:tab w:val="left" w:pos="280"/>
        </w:tabs>
        <w:rPr>
          <w:rFonts w:ascii="Times New Roman" w:hAnsi="Times New Roman" w:cs="Times New Roman"/>
        </w:rPr>
      </w:pPr>
      <w:r w:rsidRPr="005D655F">
        <w:rPr>
          <w:rFonts w:ascii="Times New Roman" w:hAnsi="Times New Roman" w:cs="Times New Roman"/>
        </w:rPr>
        <w:t>The SEM analysis clearly shows that the first coating of quartz material with hydrophobic nanoparticles offers the best combination of surface properties for oil-water separation. The uniform distribution, minimal clustering, and optimal inter-separation distances contribute to superior wettability and hydrophobic performance. Excessive coatings result in diminishing returns, highlighting the importance of careful optimization in material preparation for practical applications.</w:t>
      </w:r>
    </w:p>
    <w:p w14:paraId="526D5A4D" w14:textId="77777777" w:rsidR="00F1256F" w:rsidRDefault="00F1256F" w:rsidP="005D655F">
      <w:pPr>
        <w:tabs>
          <w:tab w:val="left" w:pos="280"/>
        </w:tabs>
        <w:rPr>
          <w:rFonts w:ascii="Times New Roman" w:hAnsi="Times New Roman" w:cs="Times New Roman"/>
        </w:rPr>
      </w:pPr>
    </w:p>
    <w:p w14:paraId="2B9757C5" w14:textId="77777777" w:rsidR="00F1256F" w:rsidRDefault="00F1256F" w:rsidP="005D655F">
      <w:pPr>
        <w:tabs>
          <w:tab w:val="left" w:pos="280"/>
        </w:tabs>
        <w:rPr>
          <w:rFonts w:ascii="Times New Roman" w:hAnsi="Times New Roman" w:cs="Times New Roman"/>
        </w:rPr>
      </w:pPr>
    </w:p>
    <w:p w14:paraId="1F75D2CE" w14:textId="77777777" w:rsidR="00F1256F" w:rsidRDefault="00F1256F" w:rsidP="005D655F">
      <w:pPr>
        <w:tabs>
          <w:tab w:val="left" w:pos="280"/>
        </w:tabs>
        <w:rPr>
          <w:rFonts w:ascii="Times New Roman" w:hAnsi="Times New Roman" w:cs="Times New Roman"/>
        </w:rPr>
      </w:pPr>
    </w:p>
    <w:p w14:paraId="14E91D56" w14:textId="77777777" w:rsidR="00CB0C5C" w:rsidRDefault="00CB0C5C" w:rsidP="00CB0C5C">
      <w:pPr>
        <w:tabs>
          <w:tab w:val="left" w:pos="280"/>
        </w:tabs>
        <w:rPr>
          <w:rFonts w:ascii="Times New Roman" w:hAnsi="Times New Roman" w:cs="Times New Roman"/>
        </w:rPr>
      </w:pPr>
    </w:p>
    <w:p w14:paraId="41ECDA70" w14:textId="3ECBB39C" w:rsidR="004E3AE6" w:rsidRPr="004E3AE6" w:rsidRDefault="004E3AE6" w:rsidP="004E3AE6">
      <w:pPr>
        <w:pStyle w:val="ListParagraph"/>
        <w:numPr>
          <w:ilvl w:val="1"/>
          <w:numId w:val="1"/>
        </w:numPr>
        <w:tabs>
          <w:tab w:val="left" w:pos="280"/>
        </w:tabs>
        <w:rPr>
          <w:rFonts w:ascii="Times New Roman" w:hAnsi="Times New Roman" w:cs="Times New Roman"/>
          <w:b/>
          <w:bCs/>
        </w:rPr>
      </w:pPr>
      <w:r w:rsidRPr="004E3AE6">
        <w:rPr>
          <w:rFonts w:ascii="Times New Roman" w:hAnsi="Times New Roman" w:cs="Times New Roman"/>
          <w:b/>
          <w:bCs/>
        </w:rPr>
        <w:t>Oil and grease analysis</w:t>
      </w:r>
    </w:p>
    <w:p w14:paraId="0639DE67" w14:textId="77777777" w:rsidR="00CB0C5C" w:rsidRDefault="00CB0C5C" w:rsidP="00CB0C5C">
      <w:pPr>
        <w:tabs>
          <w:tab w:val="left" w:pos="280"/>
        </w:tabs>
        <w:rPr>
          <w:rFonts w:ascii="Times New Roman" w:hAnsi="Times New Roman" w:cs="Times New Roman"/>
        </w:rPr>
      </w:pPr>
    </w:p>
    <w:p w14:paraId="0BF88E26" w14:textId="77777777" w:rsidR="0036067A" w:rsidRDefault="00D15A07" w:rsidP="00D15A07">
      <w:pPr>
        <w:ind w:firstLine="204"/>
        <w:rPr>
          <w:rFonts w:ascii="Times New Roman" w:hAnsi="Times New Roman" w:cs="Times New Roman"/>
        </w:rPr>
      </w:pPr>
      <w:r w:rsidRPr="00D15A07">
        <w:rPr>
          <w:rFonts w:ascii="Times New Roman" w:hAnsi="Times New Roman" w:cs="Times New Roman"/>
        </w:rPr>
        <w:t>The oil and grease analysis was performed to assess the quality of permeate (water) obtained after the oil/water separation process. This evaluation aimed to determine the effectiveness of quartz material in separating oil/water emulsions. The findings from the analysis are summarized in Table 1, highlighting the performance of the quartz material under different conditions.</w:t>
      </w:r>
      <w:r w:rsidR="0036067A">
        <w:rPr>
          <w:rFonts w:ascii="Times New Roman" w:hAnsi="Times New Roman" w:cs="Times New Roman"/>
        </w:rPr>
        <w:t xml:space="preserve"> </w:t>
      </w:r>
    </w:p>
    <w:p w14:paraId="585DC9B0" w14:textId="52A706D2" w:rsidR="0036067A" w:rsidRDefault="0036067A" w:rsidP="00AF34D7">
      <w:pPr>
        <w:ind w:firstLine="204"/>
        <w:rPr>
          <w:rFonts w:ascii="Times New Roman" w:hAnsi="Times New Roman" w:cs="Times New Roman"/>
        </w:rPr>
      </w:pPr>
      <w:r>
        <w:rPr>
          <w:rFonts w:ascii="Times New Roman" w:hAnsi="Times New Roman" w:cs="Times New Roman"/>
        </w:rPr>
        <w:t xml:space="preserve">The findings revealed that the </w:t>
      </w:r>
      <w:r w:rsidRPr="0036067A">
        <w:rPr>
          <w:rFonts w:ascii="Times New Roman" w:hAnsi="Times New Roman" w:cs="Times New Roman"/>
          <w:lang w:val="en-ZA"/>
        </w:rPr>
        <w:t>best results were observed with the first coating, where the hydrophobic nanoparticles were evenly distributed, ensuring optimal wettability and efficient separation.</w:t>
      </w:r>
      <w:r w:rsidR="00AF34D7">
        <w:rPr>
          <w:rFonts w:ascii="Times New Roman" w:hAnsi="Times New Roman" w:cs="Times New Roman"/>
          <w:lang w:val="en-ZA"/>
        </w:rPr>
        <w:t xml:space="preserve"> While, a</w:t>
      </w:r>
      <w:r w:rsidRPr="0036067A">
        <w:rPr>
          <w:rFonts w:ascii="Times New Roman" w:hAnsi="Times New Roman" w:cs="Times New Roman"/>
          <w:lang w:val="en-ZA"/>
        </w:rPr>
        <w:t>dditional coatings introduced irregularities, clustering, and excessive roughness, which compromised the separation efficiency and led to significantly higher oil content in the permeate.</w:t>
      </w:r>
    </w:p>
    <w:p w14:paraId="234280BB" w14:textId="77777777" w:rsidR="0036067A" w:rsidRDefault="0036067A" w:rsidP="00D15A07">
      <w:pPr>
        <w:ind w:firstLine="204"/>
        <w:rPr>
          <w:rFonts w:ascii="Times New Roman" w:hAnsi="Times New Roman" w:cs="Times New Roman"/>
        </w:rPr>
      </w:pPr>
    </w:p>
    <w:p w14:paraId="0393AC7A" w14:textId="77777777" w:rsidR="0036067A" w:rsidRDefault="0036067A" w:rsidP="00751248">
      <w:pPr>
        <w:rPr>
          <w:rFonts w:ascii="Times New Roman" w:hAnsi="Times New Roman" w:cs="Times New Roman"/>
        </w:rPr>
      </w:pPr>
    </w:p>
    <w:p w14:paraId="28516B62" w14:textId="56A37BD3" w:rsidR="00AF34D7" w:rsidRDefault="00AF34D7" w:rsidP="00AF34D7">
      <w:pPr>
        <w:tabs>
          <w:tab w:val="left" w:pos="7474"/>
        </w:tabs>
        <w:jc w:val="center"/>
        <w:rPr>
          <w:rFonts w:ascii="Times New Roman" w:eastAsia="Times New Roman" w:hAnsi="Times New Roman" w:cs="Times New Roman"/>
        </w:rPr>
      </w:pPr>
      <w:r>
        <w:rPr>
          <w:rFonts w:ascii="Times New Roman" w:eastAsia="Times New Roman" w:hAnsi="Times New Roman" w:cs="Times New Roman"/>
          <w:b/>
        </w:rPr>
        <w:t xml:space="preserve">Table 1. </w:t>
      </w:r>
      <w:r>
        <w:rPr>
          <w:rFonts w:ascii="Times New Roman" w:eastAsia="Times New Roman" w:hAnsi="Times New Roman" w:cs="Times New Roman"/>
        </w:rPr>
        <w:t>Impact of nanoparticle coatings on quartz material</w:t>
      </w:r>
    </w:p>
    <w:p w14:paraId="43D63CE7" w14:textId="77777777" w:rsidR="00CB0C5C" w:rsidRDefault="00CB0C5C" w:rsidP="00CB0C5C">
      <w:pPr>
        <w:tabs>
          <w:tab w:val="left" w:pos="280"/>
        </w:tabs>
        <w:rPr>
          <w:rFonts w:ascii="Times New Roman" w:eastAsia="Times New Roman" w:hAnsi="Times New Roman" w:cs="Times New Roman"/>
          <w:b/>
        </w:rPr>
      </w:pPr>
    </w:p>
    <w:p w14:paraId="0315B32A" w14:textId="77777777" w:rsidR="00C62E57" w:rsidRDefault="00C62E57" w:rsidP="00CB0C5C">
      <w:pPr>
        <w:tabs>
          <w:tab w:val="left" w:pos="280"/>
        </w:tabs>
        <w:rPr>
          <w:rFonts w:ascii="Times New Roman" w:hAnsi="Times New Roman" w:cs="Times New Roman"/>
        </w:rPr>
      </w:pPr>
    </w:p>
    <w:tbl>
      <w:tblPr>
        <w:tblStyle w:val="TableGrid"/>
        <w:tblW w:w="0" w:type="auto"/>
        <w:tblLook w:val="04A0" w:firstRow="1" w:lastRow="0" w:firstColumn="1" w:lastColumn="0" w:noHBand="0" w:noVBand="1"/>
      </w:tblPr>
      <w:tblGrid>
        <w:gridCol w:w="1544"/>
        <w:gridCol w:w="1450"/>
        <w:gridCol w:w="1851"/>
      </w:tblGrid>
      <w:tr w:rsidR="0036067A" w:rsidRPr="0036067A" w14:paraId="1B133A11" w14:textId="77777777" w:rsidTr="002137A1">
        <w:tc>
          <w:tcPr>
            <w:tcW w:w="3005" w:type="dxa"/>
            <w:tcBorders>
              <w:left w:val="nil"/>
              <w:bottom w:val="single" w:sz="4" w:space="0" w:color="auto"/>
              <w:right w:val="nil"/>
            </w:tcBorders>
          </w:tcPr>
          <w:p w14:paraId="10960941" w14:textId="627CB04F" w:rsidR="0036067A" w:rsidRPr="0036067A" w:rsidRDefault="0036067A" w:rsidP="0036067A">
            <w:pPr>
              <w:tabs>
                <w:tab w:val="left" w:pos="280"/>
              </w:tabs>
              <w:jc w:val="center"/>
              <w:rPr>
                <w:rFonts w:cs="Times New Roman"/>
                <w:b/>
                <w:bCs/>
                <w:lang w:val="en-ZA"/>
              </w:rPr>
            </w:pPr>
            <w:r w:rsidRPr="0036067A">
              <w:rPr>
                <w:rFonts w:cs="Times New Roman"/>
                <w:b/>
                <w:bCs/>
                <w:lang w:val="en-ZA"/>
              </w:rPr>
              <w:t xml:space="preserve">Quartz material </w:t>
            </w:r>
          </w:p>
        </w:tc>
        <w:tc>
          <w:tcPr>
            <w:tcW w:w="3005" w:type="dxa"/>
            <w:tcBorders>
              <w:left w:val="nil"/>
              <w:bottom w:val="single" w:sz="4" w:space="0" w:color="auto"/>
              <w:right w:val="nil"/>
            </w:tcBorders>
          </w:tcPr>
          <w:p w14:paraId="66EDC513" w14:textId="77777777" w:rsidR="0036067A" w:rsidRPr="0036067A" w:rsidRDefault="0036067A" w:rsidP="0036067A">
            <w:pPr>
              <w:tabs>
                <w:tab w:val="left" w:pos="280"/>
              </w:tabs>
              <w:jc w:val="center"/>
              <w:rPr>
                <w:rFonts w:cs="Times New Roman"/>
                <w:b/>
                <w:bCs/>
                <w:lang w:val="en-ZA"/>
              </w:rPr>
            </w:pPr>
            <w:r w:rsidRPr="0036067A">
              <w:rPr>
                <w:rFonts w:cs="Times New Roman"/>
                <w:b/>
                <w:bCs/>
                <w:lang w:val="en-ZA"/>
              </w:rPr>
              <w:t>Oil and grease (mg/L)</w:t>
            </w:r>
          </w:p>
        </w:tc>
        <w:tc>
          <w:tcPr>
            <w:tcW w:w="3006" w:type="dxa"/>
            <w:tcBorders>
              <w:left w:val="nil"/>
              <w:bottom w:val="single" w:sz="4" w:space="0" w:color="auto"/>
              <w:right w:val="nil"/>
            </w:tcBorders>
          </w:tcPr>
          <w:p w14:paraId="4AAE4829" w14:textId="77777777" w:rsidR="0036067A" w:rsidRPr="0036067A" w:rsidRDefault="0036067A" w:rsidP="0036067A">
            <w:pPr>
              <w:tabs>
                <w:tab w:val="left" w:pos="280"/>
              </w:tabs>
              <w:jc w:val="center"/>
              <w:rPr>
                <w:rFonts w:cs="Times New Roman"/>
                <w:b/>
                <w:bCs/>
                <w:lang w:val="en-ZA"/>
              </w:rPr>
            </w:pPr>
            <w:r w:rsidRPr="0036067A">
              <w:rPr>
                <w:rFonts w:cs="Times New Roman"/>
                <w:b/>
                <w:bCs/>
                <w:lang w:val="en-ZA"/>
              </w:rPr>
              <w:t>Impact of nanoparticles</w:t>
            </w:r>
          </w:p>
        </w:tc>
      </w:tr>
      <w:tr w:rsidR="0036067A" w:rsidRPr="0036067A" w14:paraId="73259F88" w14:textId="77777777" w:rsidTr="002137A1">
        <w:tc>
          <w:tcPr>
            <w:tcW w:w="3005" w:type="dxa"/>
            <w:tcBorders>
              <w:left w:val="nil"/>
              <w:bottom w:val="nil"/>
              <w:right w:val="nil"/>
            </w:tcBorders>
          </w:tcPr>
          <w:p w14:paraId="4BA76A9A"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Raw</w:t>
            </w:r>
          </w:p>
        </w:tc>
        <w:tc>
          <w:tcPr>
            <w:tcW w:w="3005" w:type="dxa"/>
            <w:tcBorders>
              <w:left w:val="nil"/>
              <w:bottom w:val="nil"/>
              <w:right w:val="nil"/>
            </w:tcBorders>
          </w:tcPr>
          <w:p w14:paraId="70B17A46"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1859.8</w:t>
            </w:r>
          </w:p>
        </w:tc>
        <w:tc>
          <w:tcPr>
            <w:tcW w:w="3006" w:type="dxa"/>
            <w:tcBorders>
              <w:left w:val="nil"/>
              <w:bottom w:val="nil"/>
              <w:right w:val="nil"/>
            </w:tcBorders>
          </w:tcPr>
          <w:p w14:paraId="63ACB195"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No treatment; high oil content due to lack of hydrophobic properties.</w:t>
            </w:r>
          </w:p>
        </w:tc>
      </w:tr>
      <w:tr w:rsidR="0036067A" w:rsidRPr="0036067A" w14:paraId="508EDB04" w14:textId="77777777" w:rsidTr="002137A1">
        <w:tc>
          <w:tcPr>
            <w:tcW w:w="3005" w:type="dxa"/>
            <w:tcBorders>
              <w:top w:val="nil"/>
              <w:left w:val="nil"/>
              <w:bottom w:val="nil"/>
              <w:right w:val="nil"/>
            </w:tcBorders>
          </w:tcPr>
          <w:p w14:paraId="05660EA9"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Washed</w:t>
            </w:r>
          </w:p>
        </w:tc>
        <w:tc>
          <w:tcPr>
            <w:tcW w:w="3005" w:type="dxa"/>
            <w:tcBorders>
              <w:top w:val="nil"/>
              <w:left w:val="nil"/>
              <w:bottom w:val="nil"/>
              <w:right w:val="nil"/>
            </w:tcBorders>
          </w:tcPr>
          <w:p w14:paraId="374D0C63"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1583.7</w:t>
            </w:r>
          </w:p>
        </w:tc>
        <w:tc>
          <w:tcPr>
            <w:tcW w:w="3006" w:type="dxa"/>
            <w:tcBorders>
              <w:top w:val="nil"/>
              <w:left w:val="nil"/>
              <w:bottom w:val="nil"/>
              <w:right w:val="nil"/>
            </w:tcBorders>
          </w:tcPr>
          <w:p w14:paraId="21E10523"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Removal of surface impurities slightly reduces oil content but lacks hydrophobicity for effective separation.</w:t>
            </w:r>
          </w:p>
        </w:tc>
      </w:tr>
      <w:tr w:rsidR="0036067A" w:rsidRPr="0036067A" w14:paraId="27D5E80B" w14:textId="77777777" w:rsidTr="002137A1">
        <w:tc>
          <w:tcPr>
            <w:tcW w:w="3005" w:type="dxa"/>
            <w:tcBorders>
              <w:top w:val="nil"/>
              <w:left w:val="nil"/>
              <w:bottom w:val="nil"/>
              <w:right w:val="nil"/>
            </w:tcBorders>
          </w:tcPr>
          <w:p w14:paraId="1375175A"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First coating</w:t>
            </w:r>
          </w:p>
        </w:tc>
        <w:tc>
          <w:tcPr>
            <w:tcW w:w="3005" w:type="dxa"/>
            <w:tcBorders>
              <w:top w:val="nil"/>
              <w:left w:val="nil"/>
              <w:bottom w:val="nil"/>
              <w:right w:val="nil"/>
            </w:tcBorders>
          </w:tcPr>
          <w:p w14:paraId="0E0D8495"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29.3</w:t>
            </w:r>
          </w:p>
        </w:tc>
        <w:tc>
          <w:tcPr>
            <w:tcW w:w="3006" w:type="dxa"/>
            <w:tcBorders>
              <w:top w:val="nil"/>
              <w:left w:val="nil"/>
              <w:bottom w:val="nil"/>
              <w:right w:val="nil"/>
            </w:tcBorders>
          </w:tcPr>
          <w:p w14:paraId="37A3F40A"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Achieves the most efficient oil-water separation. Uniformly distributed nanoparticles enhance wettability, significantly reducing oil content in permeate.</w:t>
            </w:r>
          </w:p>
        </w:tc>
      </w:tr>
      <w:tr w:rsidR="0036067A" w:rsidRPr="0036067A" w14:paraId="1AF351F4" w14:textId="77777777" w:rsidTr="002137A1">
        <w:tc>
          <w:tcPr>
            <w:tcW w:w="3005" w:type="dxa"/>
            <w:tcBorders>
              <w:top w:val="nil"/>
              <w:left w:val="nil"/>
              <w:bottom w:val="nil"/>
              <w:right w:val="nil"/>
            </w:tcBorders>
          </w:tcPr>
          <w:p w14:paraId="5433C19D"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Second coating</w:t>
            </w:r>
          </w:p>
        </w:tc>
        <w:tc>
          <w:tcPr>
            <w:tcW w:w="3005" w:type="dxa"/>
            <w:tcBorders>
              <w:top w:val="nil"/>
              <w:left w:val="nil"/>
              <w:bottom w:val="nil"/>
              <w:right w:val="nil"/>
            </w:tcBorders>
          </w:tcPr>
          <w:p w14:paraId="60979925"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547.4</w:t>
            </w:r>
          </w:p>
        </w:tc>
        <w:tc>
          <w:tcPr>
            <w:tcW w:w="3006" w:type="dxa"/>
            <w:tcBorders>
              <w:top w:val="nil"/>
              <w:left w:val="nil"/>
              <w:bottom w:val="nil"/>
              <w:right w:val="nil"/>
            </w:tcBorders>
          </w:tcPr>
          <w:p w14:paraId="32DB1CF9"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Slightly less effective; increased roughness and nanoparticle clustering reduce uniform hydrophobic coverage.</w:t>
            </w:r>
          </w:p>
        </w:tc>
      </w:tr>
      <w:tr w:rsidR="0036067A" w:rsidRPr="0036067A" w14:paraId="17C58B59" w14:textId="77777777" w:rsidTr="002137A1">
        <w:tc>
          <w:tcPr>
            <w:tcW w:w="3005" w:type="dxa"/>
            <w:tcBorders>
              <w:top w:val="nil"/>
              <w:left w:val="nil"/>
              <w:bottom w:val="nil"/>
              <w:right w:val="nil"/>
            </w:tcBorders>
          </w:tcPr>
          <w:p w14:paraId="039BBAC9"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Third coating</w:t>
            </w:r>
          </w:p>
        </w:tc>
        <w:tc>
          <w:tcPr>
            <w:tcW w:w="3005" w:type="dxa"/>
            <w:tcBorders>
              <w:top w:val="nil"/>
              <w:left w:val="nil"/>
              <w:bottom w:val="nil"/>
              <w:right w:val="nil"/>
            </w:tcBorders>
          </w:tcPr>
          <w:p w14:paraId="08596CE4"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27177</w:t>
            </w:r>
          </w:p>
        </w:tc>
        <w:tc>
          <w:tcPr>
            <w:tcW w:w="3006" w:type="dxa"/>
            <w:tcBorders>
              <w:top w:val="nil"/>
              <w:left w:val="nil"/>
              <w:bottom w:val="nil"/>
              <w:right w:val="nil"/>
            </w:tcBorders>
          </w:tcPr>
          <w:p w14:paraId="69B31F52"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Poor performance; excessive nanoparticle layering and clustering increase hydrophobic irregularities, trapping oil.</w:t>
            </w:r>
          </w:p>
        </w:tc>
      </w:tr>
      <w:tr w:rsidR="0036067A" w:rsidRPr="0036067A" w14:paraId="614419F2" w14:textId="77777777" w:rsidTr="002137A1">
        <w:tc>
          <w:tcPr>
            <w:tcW w:w="3005" w:type="dxa"/>
            <w:tcBorders>
              <w:top w:val="nil"/>
              <w:left w:val="nil"/>
              <w:right w:val="nil"/>
            </w:tcBorders>
          </w:tcPr>
          <w:p w14:paraId="107F80CB"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Fourth coating</w:t>
            </w:r>
          </w:p>
        </w:tc>
        <w:tc>
          <w:tcPr>
            <w:tcW w:w="3005" w:type="dxa"/>
            <w:tcBorders>
              <w:top w:val="nil"/>
              <w:left w:val="nil"/>
              <w:right w:val="nil"/>
            </w:tcBorders>
          </w:tcPr>
          <w:p w14:paraId="067CACB6"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73439.7</w:t>
            </w:r>
          </w:p>
        </w:tc>
        <w:tc>
          <w:tcPr>
            <w:tcW w:w="3006" w:type="dxa"/>
            <w:tcBorders>
              <w:top w:val="nil"/>
              <w:left w:val="nil"/>
              <w:right w:val="nil"/>
            </w:tcBorders>
          </w:tcPr>
          <w:p w14:paraId="77FA8819" w14:textId="77777777" w:rsidR="0036067A" w:rsidRPr="0036067A" w:rsidRDefault="0036067A" w:rsidP="0036067A">
            <w:pPr>
              <w:tabs>
                <w:tab w:val="left" w:pos="280"/>
              </w:tabs>
              <w:jc w:val="center"/>
              <w:rPr>
                <w:rFonts w:cs="Times New Roman"/>
                <w:sz w:val="18"/>
                <w:szCs w:val="18"/>
                <w:lang w:val="en-ZA"/>
              </w:rPr>
            </w:pPr>
            <w:r w:rsidRPr="0036067A">
              <w:rPr>
                <w:rFonts w:cs="Times New Roman"/>
                <w:sz w:val="18"/>
                <w:szCs w:val="18"/>
                <w:lang w:val="en-ZA"/>
              </w:rPr>
              <w:t>Ineffective; oversaturation of nanoparticles disrupts surface properties, causing severe inefficiencies in separation.</w:t>
            </w:r>
          </w:p>
        </w:tc>
      </w:tr>
    </w:tbl>
    <w:p w14:paraId="3803819E" w14:textId="77777777" w:rsidR="00CB0C5C" w:rsidRPr="0036067A" w:rsidRDefault="00CB0C5C" w:rsidP="00CB0C5C">
      <w:pPr>
        <w:tabs>
          <w:tab w:val="left" w:pos="280"/>
        </w:tabs>
        <w:rPr>
          <w:rFonts w:ascii="Times New Roman" w:hAnsi="Times New Roman" w:cs="Times New Roman"/>
          <w:lang w:val="en-ZA"/>
        </w:rPr>
      </w:pPr>
    </w:p>
    <w:p w14:paraId="2FB37441" w14:textId="77777777" w:rsidR="00CB0C5C" w:rsidRDefault="00CB0C5C" w:rsidP="00CB0C5C">
      <w:pPr>
        <w:tabs>
          <w:tab w:val="left" w:pos="280"/>
        </w:tabs>
        <w:rPr>
          <w:rFonts w:ascii="Times New Roman" w:hAnsi="Times New Roman" w:cs="Times New Roman"/>
        </w:rPr>
      </w:pPr>
    </w:p>
    <w:p w14:paraId="44D4D607" w14:textId="3EE710E6" w:rsidR="00CB0C5C" w:rsidRPr="00CC317E" w:rsidRDefault="00CC317E" w:rsidP="00CC317E">
      <w:pPr>
        <w:pStyle w:val="ListParagraph"/>
        <w:numPr>
          <w:ilvl w:val="1"/>
          <w:numId w:val="1"/>
        </w:numPr>
        <w:tabs>
          <w:tab w:val="left" w:pos="280"/>
        </w:tabs>
        <w:rPr>
          <w:rFonts w:ascii="Times New Roman" w:hAnsi="Times New Roman" w:cs="Times New Roman"/>
          <w:b/>
          <w:bCs/>
        </w:rPr>
      </w:pPr>
      <w:r w:rsidRPr="00CC317E">
        <w:rPr>
          <w:rFonts w:ascii="Times New Roman" w:hAnsi="Times New Roman" w:cs="Times New Roman"/>
          <w:b/>
          <w:bCs/>
        </w:rPr>
        <w:t xml:space="preserve">Comparison of oil and grease analysis with SEM findings </w:t>
      </w:r>
    </w:p>
    <w:p w14:paraId="36142BF4" w14:textId="77777777" w:rsidR="00CC317E" w:rsidRPr="00CC317E" w:rsidRDefault="00CC317E" w:rsidP="00CC317E">
      <w:pPr>
        <w:tabs>
          <w:tab w:val="left" w:pos="280"/>
        </w:tabs>
        <w:rPr>
          <w:rFonts w:ascii="Times New Roman" w:hAnsi="Times New Roman" w:cs="Times New Roman"/>
          <w:b/>
          <w:bCs/>
        </w:rPr>
      </w:pPr>
    </w:p>
    <w:p w14:paraId="359EBB13" w14:textId="043A6348" w:rsidR="00CC317E" w:rsidRDefault="00CC317E" w:rsidP="00CC317E">
      <w:pPr>
        <w:ind w:firstLine="204"/>
        <w:rPr>
          <w:rFonts w:ascii="Times New Roman" w:hAnsi="Times New Roman" w:cs="Times New Roman"/>
        </w:rPr>
      </w:pPr>
      <w:r>
        <w:t xml:space="preserve">The </w:t>
      </w:r>
      <w:r w:rsidRPr="00CC317E">
        <w:rPr>
          <w:rFonts w:ascii="Times New Roman" w:hAnsi="Times New Roman" w:cs="Times New Roman"/>
        </w:rPr>
        <w:t xml:space="preserve">findings from Table 1 and the SEM analysis converge to highlight the exceptional performance of the first coating. </w:t>
      </w:r>
      <w:r w:rsidRPr="00CC317E">
        <w:rPr>
          <w:rFonts w:ascii="Times New Roman" w:hAnsi="Times New Roman" w:cs="Times New Roman"/>
        </w:rPr>
        <w:lastRenderedPageBreak/>
        <w:t>The uniform nanoparticle distribution and balanced surface properties observed in the SEM analysis directly justify the low oil and grease content (29.3 mg/L) achieved in Table 1. Subsequent coatings degrade performance due to increased roughness, clustering, and loss of uniformity, underscoring the importance of optimizing the coating process for practical applications.</w:t>
      </w:r>
      <w:r>
        <w:rPr>
          <w:rFonts w:ascii="Times New Roman" w:hAnsi="Times New Roman" w:cs="Times New Roman"/>
        </w:rPr>
        <w:t xml:space="preserve"> Table 2 shows the comparison of oil and grease analysis with SEM findings.</w:t>
      </w:r>
    </w:p>
    <w:p w14:paraId="76A3E20D" w14:textId="77777777" w:rsidR="00CC317E" w:rsidRDefault="00CC317E" w:rsidP="00751248">
      <w:pPr>
        <w:rPr>
          <w:rFonts w:ascii="Times New Roman" w:hAnsi="Times New Roman" w:cs="Times New Roman"/>
        </w:rPr>
      </w:pPr>
    </w:p>
    <w:p w14:paraId="6B7AE18C" w14:textId="77777777" w:rsidR="00CC317E" w:rsidRDefault="00CC317E" w:rsidP="00CC317E">
      <w:pPr>
        <w:ind w:firstLine="204"/>
        <w:rPr>
          <w:rFonts w:ascii="Times New Roman" w:hAnsi="Times New Roman" w:cs="Times New Roman"/>
        </w:rPr>
      </w:pPr>
    </w:p>
    <w:p w14:paraId="786B0511" w14:textId="4B6F8E74" w:rsidR="00CC317E" w:rsidRDefault="00CC317E" w:rsidP="00CC317E">
      <w:pPr>
        <w:tabs>
          <w:tab w:val="left" w:pos="7474"/>
        </w:tabs>
        <w:jc w:val="center"/>
        <w:rPr>
          <w:rFonts w:ascii="Times New Roman" w:eastAsia="Times New Roman" w:hAnsi="Times New Roman" w:cs="Times New Roman"/>
          <w:b/>
        </w:rPr>
      </w:pPr>
      <w:r>
        <w:rPr>
          <w:rFonts w:ascii="Times New Roman" w:eastAsia="Times New Roman" w:hAnsi="Times New Roman" w:cs="Times New Roman"/>
          <w:b/>
        </w:rPr>
        <w:t xml:space="preserve">Table </w:t>
      </w:r>
      <w:r>
        <w:rPr>
          <w:rFonts w:ascii="Times New Roman" w:eastAsia="Times New Roman" w:hAnsi="Times New Roman" w:cs="Times New Roman"/>
          <w:b/>
        </w:rPr>
        <w:t>2</w:t>
      </w:r>
      <w:r>
        <w:rPr>
          <w:rFonts w:ascii="Times New Roman" w:eastAsia="Times New Roman" w:hAnsi="Times New Roman" w:cs="Times New Roman"/>
          <w:b/>
        </w:rPr>
        <w:t>.</w:t>
      </w:r>
      <w:r>
        <w:rPr>
          <w:rFonts w:ascii="Times New Roman" w:eastAsia="Times New Roman" w:hAnsi="Times New Roman" w:cs="Times New Roman"/>
          <w:b/>
        </w:rPr>
        <w:t xml:space="preserve"> </w:t>
      </w:r>
      <w:r w:rsidRPr="00CC317E">
        <w:rPr>
          <w:rFonts w:ascii="Times New Roman" w:eastAsia="Times New Roman" w:hAnsi="Times New Roman" w:cs="Times New Roman"/>
        </w:rPr>
        <w:t>Comparison of Oil and Grease Analysis with SEM Findings</w:t>
      </w:r>
    </w:p>
    <w:p w14:paraId="29EE3072" w14:textId="77777777" w:rsidR="00CB0C5C" w:rsidRDefault="00CB0C5C" w:rsidP="00CB0C5C">
      <w:pPr>
        <w:tabs>
          <w:tab w:val="left" w:pos="280"/>
        </w:tabs>
        <w:rPr>
          <w:rFonts w:ascii="Times New Roman" w:hAnsi="Times New Roman" w:cs="Times New Roman"/>
        </w:rPr>
      </w:pPr>
    </w:p>
    <w:tbl>
      <w:tblPr>
        <w:tblStyle w:val="TableGrid"/>
        <w:tblW w:w="0" w:type="auto"/>
        <w:tblLook w:val="04A0" w:firstRow="1" w:lastRow="0" w:firstColumn="1" w:lastColumn="0" w:noHBand="0" w:noVBand="1"/>
      </w:tblPr>
      <w:tblGrid>
        <w:gridCol w:w="1002"/>
        <w:gridCol w:w="875"/>
        <w:gridCol w:w="1288"/>
        <w:gridCol w:w="1372"/>
        <w:gridCol w:w="308"/>
      </w:tblGrid>
      <w:tr w:rsidR="00C62E57" w14:paraId="6EDFCB52" w14:textId="77777777" w:rsidTr="002137A1">
        <w:tc>
          <w:tcPr>
            <w:tcW w:w="1910" w:type="dxa"/>
            <w:tcBorders>
              <w:left w:val="nil"/>
              <w:bottom w:val="single" w:sz="4" w:space="0" w:color="auto"/>
              <w:right w:val="nil"/>
            </w:tcBorders>
          </w:tcPr>
          <w:p w14:paraId="59ABF7AB" w14:textId="77777777" w:rsidR="00C62E57" w:rsidRPr="00283AEC" w:rsidRDefault="00C62E57" w:rsidP="002137A1">
            <w:pPr>
              <w:jc w:val="center"/>
              <w:rPr>
                <w:rFonts w:ascii="Times New Roman" w:hAnsi="Times New Roman" w:cs="Times New Roman"/>
                <w:b/>
                <w:bCs/>
              </w:rPr>
            </w:pPr>
            <w:r w:rsidRPr="00283AEC">
              <w:rPr>
                <w:rFonts w:ascii="Times New Roman" w:hAnsi="Times New Roman" w:cs="Times New Roman"/>
                <w:b/>
                <w:bCs/>
              </w:rPr>
              <w:t>Quartz material</w:t>
            </w:r>
          </w:p>
        </w:tc>
        <w:tc>
          <w:tcPr>
            <w:tcW w:w="1873" w:type="dxa"/>
            <w:tcBorders>
              <w:left w:val="nil"/>
              <w:bottom w:val="single" w:sz="4" w:space="0" w:color="auto"/>
              <w:right w:val="nil"/>
            </w:tcBorders>
          </w:tcPr>
          <w:p w14:paraId="35494286" w14:textId="77777777" w:rsidR="00C62E57" w:rsidRPr="00283AEC" w:rsidRDefault="00C62E57" w:rsidP="002137A1">
            <w:pPr>
              <w:jc w:val="center"/>
              <w:rPr>
                <w:rFonts w:ascii="Times New Roman" w:hAnsi="Times New Roman" w:cs="Times New Roman"/>
                <w:b/>
                <w:bCs/>
              </w:rPr>
            </w:pPr>
            <w:r w:rsidRPr="00283AEC">
              <w:rPr>
                <w:rFonts w:ascii="Times New Roman" w:hAnsi="Times New Roman" w:cs="Times New Roman"/>
                <w:b/>
                <w:bCs/>
              </w:rPr>
              <w:t>Oil and grease (mg/L)</w:t>
            </w:r>
          </w:p>
        </w:tc>
        <w:tc>
          <w:tcPr>
            <w:tcW w:w="2177" w:type="dxa"/>
            <w:tcBorders>
              <w:left w:val="nil"/>
              <w:bottom w:val="single" w:sz="4" w:space="0" w:color="auto"/>
              <w:right w:val="nil"/>
            </w:tcBorders>
          </w:tcPr>
          <w:p w14:paraId="5689DBA1" w14:textId="77777777" w:rsidR="00C62E57" w:rsidRPr="00283AEC" w:rsidRDefault="00C62E57" w:rsidP="002137A1">
            <w:pPr>
              <w:jc w:val="center"/>
              <w:rPr>
                <w:rFonts w:ascii="Times New Roman" w:hAnsi="Times New Roman" w:cs="Times New Roman"/>
                <w:b/>
                <w:bCs/>
              </w:rPr>
            </w:pPr>
            <w:r w:rsidRPr="003518B0">
              <w:rPr>
                <w:rFonts w:ascii="Times New Roman" w:hAnsi="Times New Roman" w:cs="Times New Roman"/>
                <w:b/>
                <w:bCs/>
              </w:rPr>
              <w:t xml:space="preserve">SEM </w:t>
            </w:r>
            <w:r>
              <w:rPr>
                <w:rFonts w:ascii="Times New Roman" w:hAnsi="Times New Roman" w:cs="Times New Roman"/>
                <w:b/>
                <w:bCs/>
              </w:rPr>
              <w:t>f</w:t>
            </w:r>
            <w:r w:rsidRPr="003518B0">
              <w:rPr>
                <w:rFonts w:ascii="Times New Roman" w:hAnsi="Times New Roman" w:cs="Times New Roman"/>
                <w:b/>
                <w:bCs/>
              </w:rPr>
              <w:t>indings</w:t>
            </w:r>
          </w:p>
        </w:tc>
        <w:tc>
          <w:tcPr>
            <w:tcW w:w="1533" w:type="dxa"/>
            <w:tcBorders>
              <w:left w:val="nil"/>
              <w:bottom w:val="single" w:sz="4" w:space="0" w:color="auto"/>
              <w:right w:val="nil"/>
            </w:tcBorders>
          </w:tcPr>
          <w:p w14:paraId="01BB9E3D" w14:textId="77777777" w:rsidR="00C62E57" w:rsidRPr="00283AEC" w:rsidRDefault="00C62E57" w:rsidP="002137A1">
            <w:pPr>
              <w:jc w:val="center"/>
              <w:rPr>
                <w:rFonts w:ascii="Times New Roman" w:hAnsi="Times New Roman" w:cs="Times New Roman"/>
                <w:b/>
                <w:bCs/>
              </w:rPr>
            </w:pPr>
            <w:r w:rsidRPr="003518B0">
              <w:rPr>
                <w:rFonts w:ascii="Times New Roman" w:hAnsi="Times New Roman" w:cs="Times New Roman"/>
                <w:b/>
                <w:bCs/>
              </w:rPr>
              <w:t>Justification</w:t>
            </w:r>
          </w:p>
        </w:tc>
        <w:tc>
          <w:tcPr>
            <w:tcW w:w="1533" w:type="dxa"/>
            <w:tcBorders>
              <w:left w:val="nil"/>
              <w:bottom w:val="single" w:sz="4" w:space="0" w:color="auto"/>
              <w:right w:val="nil"/>
            </w:tcBorders>
          </w:tcPr>
          <w:p w14:paraId="15B2291C" w14:textId="77777777" w:rsidR="00C62E57" w:rsidRPr="00283AEC" w:rsidRDefault="00C62E57" w:rsidP="002137A1">
            <w:pPr>
              <w:jc w:val="center"/>
              <w:rPr>
                <w:rFonts w:ascii="Times New Roman" w:hAnsi="Times New Roman" w:cs="Times New Roman"/>
                <w:b/>
                <w:bCs/>
              </w:rPr>
            </w:pPr>
          </w:p>
        </w:tc>
      </w:tr>
      <w:tr w:rsidR="00C62E57" w14:paraId="74BE49B8" w14:textId="77777777" w:rsidTr="002137A1">
        <w:tc>
          <w:tcPr>
            <w:tcW w:w="1910" w:type="dxa"/>
            <w:tcBorders>
              <w:left w:val="nil"/>
              <w:bottom w:val="nil"/>
              <w:right w:val="nil"/>
            </w:tcBorders>
          </w:tcPr>
          <w:p w14:paraId="1A8809D1"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Raw</w:t>
            </w:r>
          </w:p>
        </w:tc>
        <w:tc>
          <w:tcPr>
            <w:tcW w:w="1873" w:type="dxa"/>
            <w:tcBorders>
              <w:left w:val="nil"/>
              <w:bottom w:val="nil"/>
              <w:right w:val="nil"/>
            </w:tcBorders>
          </w:tcPr>
          <w:p w14:paraId="6FED68AC"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1859.8</w:t>
            </w:r>
          </w:p>
        </w:tc>
        <w:tc>
          <w:tcPr>
            <w:tcW w:w="2177" w:type="dxa"/>
            <w:tcBorders>
              <w:left w:val="nil"/>
              <w:bottom w:val="nil"/>
              <w:right w:val="nil"/>
            </w:tcBorders>
          </w:tcPr>
          <w:p w14:paraId="01D56ED9"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Rough, uneven surface with contaminants; no hydrophobic properties.</w:t>
            </w:r>
          </w:p>
        </w:tc>
        <w:tc>
          <w:tcPr>
            <w:tcW w:w="1533" w:type="dxa"/>
            <w:tcBorders>
              <w:left w:val="nil"/>
              <w:bottom w:val="nil"/>
              <w:right w:val="nil"/>
            </w:tcBorders>
          </w:tcPr>
          <w:p w14:paraId="740A1EB8"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High oil content due to poor wettability and lack of treatment.</w:t>
            </w:r>
          </w:p>
        </w:tc>
        <w:tc>
          <w:tcPr>
            <w:tcW w:w="1533" w:type="dxa"/>
            <w:tcBorders>
              <w:left w:val="nil"/>
              <w:bottom w:val="nil"/>
              <w:right w:val="nil"/>
            </w:tcBorders>
          </w:tcPr>
          <w:p w14:paraId="43497946" w14:textId="77777777" w:rsidR="00C62E57" w:rsidRPr="00FF4E7C" w:rsidRDefault="00C62E57" w:rsidP="002137A1">
            <w:pPr>
              <w:jc w:val="center"/>
              <w:rPr>
                <w:rFonts w:ascii="Times New Roman" w:hAnsi="Times New Roman" w:cs="Times New Roman"/>
              </w:rPr>
            </w:pPr>
          </w:p>
        </w:tc>
      </w:tr>
      <w:tr w:rsidR="00C62E57" w14:paraId="737AE59A" w14:textId="77777777" w:rsidTr="002137A1">
        <w:tc>
          <w:tcPr>
            <w:tcW w:w="1910" w:type="dxa"/>
            <w:tcBorders>
              <w:top w:val="nil"/>
              <w:left w:val="nil"/>
              <w:bottom w:val="nil"/>
              <w:right w:val="nil"/>
            </w:tcBorders>
          </w:tcPr>
          <w:p w14:paraId="431F0923"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Washed</w:t>
            </w:r>
          </w:p>
        </w:tc>
        <w:tc>
          <w:tcPr>
            <w:tcW w:w="1873" w:type="dxa"/>
            <w:tcBorders>
              <w:top w:val="nil"/>
              <w:left w:val="nil"/>
              <w:bottom w:val="nil"/>
              <w:right w:val="nil"/>
            </w:tcBorders>
          </w:tcPr>
          <w:p w14:paraId="18AE4FC5"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1583.7</w:t>
            </w:r>
          </w:p>
        </w:tc>
        <w:tc>
          <w:tcPr>
            <w:tcW w:w="2177" w:type="dxa"/>
            <w:tcBorders>
              <w:top w:val="nil"/>
              <w:left w:val="nil"/>
              <w:bottom w:val="nil"/>
              <w:right w:val="nil"/>
            </w:tcBorders>
          </w:tcPr>
          <w:p w14:paraId="7236FA0D"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Cleaner surface with reduced impurities; lacks hydrophobic properties.</w:t>
            </w:r>
          </w:p>
        </w:tc>
        <w:tc>
          <w:tcPr>
            <w:tcW w:w="1533" w:type="dxa"/>
            <w:tcBorders>
              <w:top w:val="nil"/>
              <w:left w:val="nil"/>
              <w:bottom w:val="nil"/>
              <w:right w:val="nil"/>
            </w:tcBorders>
          </w:tcPr>
          <w:p w14:paraId="4223BB7C"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Slight reduction in oil content; impurities removed but hydrophobicity still absent.</w:t>
            </w:r>
          </w:p>
        </w:tc>
        <w:tc>
          <w:tcPr>
            <w:tcW w:w="1533" w:type="dxa"/>
            <w:tcBorders>
              <w:top w:val="nil"/>
              <w:left w:val="nil"/>
              <w:bottom w:val="nil"/>
              <w:right w:val="nil"/>
            </w:tcBorders>
          </w:tcPr>
          <w:p w14:paraId="6FDC5A23" w14:textId="77777777" w:rsidR="00C62E57" w:rsidRPr="00FF4E7C" w:rsidRDefault="00C62E57" w:rsidP="002137A1">
            <w:pPr>
              <w:rPr>
                <w:rFonts w:ascii="Times New Roman" w:hAnsi="Times New Roman" w:cs="Times New Roman"/>
              </w:rPr>
            </w:pPr>
          </w:p>
        </w:tc>
      </w:tr>
      <w:tr w:rsidR="00C62E57" w14:paraId="320DFF3E" w14:textId="77777777" w:rsidTr="002137A1">
        <w:tc>
          <w:tcPr>
            <w:tcW w:w="1910" w:type="dxa"/>
            <w:tcBorders>
              <w:top w:val="nil"/>
              <w:left w:val="nil"/>
              <w:bottom w:val="nil"/>
              <w:right w:val="nil"/>
            </w:tcBorders>
          </w:tcPr>
          <w:p w14:paraId="4CC72C92"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First coating</w:t>
            </w:r>
          </w:p>
        </w:tc>
        <w:tc>
          <w:tcPr>
            <w:tcW w:w="1873" w:type="dxa"/>
            <w:tcBorders>
              <w:top w:val="nil"/>
              <w:left w:val="nil"/>
              <w:bottom w:val="nil"/>
              <w:right w:val="nil"/>
            </w:tcBorders>
          </w:tcPr>
          <w:p w14:paraId="1005BEF9"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29.3</w:t>
            </w:r>
          </w:p>
        </w:tc>
        <w:tc>
          <w:tcPr>
            <w:tcW w:w="2177" w:type="dxa"/>
            <w:tcBorders>
              <w:top w:val="nil"/>
              <w:left w:val="nil"/>
              <w:bottom w:val="nil"/>
              <w:right w:val="nil"/>
            </w:tcBorders>
          </w:tcPr>
          <w:p w14:paraId="477C1971"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Uniform nanoparticle distribution, minimal clustering, optimal surface roughness and smoothness.</w:t>
            </w:r>
          </w:p>
        </w:tc>
        <w:tc>
          <w:tcPr>
            <w:tcW w:w="1533" w:type="dxa"/>
            <w:tcBorders>
              <w:top w:val="nil"/>
              <w:left w:val="nil"/>
              <w:bottom w:val="nil"/>
              <w:right w:val="nil"/>
            </w:tcBorders>
          </w:tcPr>
          <w:p w14:paraId="7EE8ECB9"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Best performance; enhanced wettability due to balanced surface morphology, allowing effective oil rejection and clean water permeation.</w:t>
            </w:r>
          </w:p>
        </w:tc>
        <w:tc>
          <w:tcPr>
            <w:tcW w:w="1533" w:type="dxa"/>
            <w:tcBorders>
              <w:top w:val="nil"/>
              <w:left w:val="nil"/>
              <w:bottom w:val="nil"/>
              <w:right w:val="nil"/>
            </w:tcBorders>
          </w:tcPr>
          <w:p w14:paraId="48CE6BE5" w14:textId="77777777" w:rsidR="00C62E57" w:rsidRPr="00FF4E7C" w:rsidRDefault="00C62E57" w:rsidP="002137A1">
            <w:pPr>
              <w:rPr>
                <w:rFonts w:ascii="Times New Roman" w:hAnsi="Times New Roman" w:cs="Times New Roman"/>
              </w:rPr>
            </w:pPr>
          </w:p>
        </w:tc>
      </w:tr>
      <w:tr w:rsidR="00C62E57" w14:paraId="51D46CEF" w14:textId="77777777" w:rsidTr="002137A1">
        <w:tc>
          <w:tcPr>
            <w:tcW w:w="1910" w:type="dxa"/>
            <w:tcBorders>
              <w:top w:val="nil"/>
              <w:left w:val="nil"/>
              <w:bottom w:val="nil"/>
              <w:right w:val="nil"/>
            </w:tcBorders>
          </w:tcPr>
          <w:p w14:paraId="5E05B933"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Second coating</w:t>
            </w:r>
          </w:p>
        </w:tc>
        <w:tc>
          <w:tcPr>
            <w:tcW w:w="1873" w:type="dxa"/>
            <w:tcBorders>
              <w:top w:val="nil"/>
              <w:left w:val="nil"/>
              <w:bottom w:val="nil"/>
              <w:right w:val="nil"/>
            </w:tcBorders>
          </w:tcPr>
          <w:p w14:paraId="1C9EC4E7"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547.4</w:t>
            </w:r>
          </w:p>
        </w:tc>
        <w:tc>
          <w:tcPr>
            <w:tcW w:w="2177" w:type="dxa"/>
            <w:tcBorders>
              <w:top w:val="nil"/>
              <w:left w:val="nil"/>
              <w:bottom w:val="nil"/>
              <w:right w:val="nil"/>
            </w:tcBorders>
          </w:tcPr>
          <w:p w14:paraId="11F49090"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Increased surface roughness, slight nanoparticle clustering, reduced uniformity.</w:t>
            </w:r>
          </w:p>
        </w:tc>
        <w:tc>
          <w:tcPr>
            <w:tcW w:w="1533" w:type="dxa"/>
            <w:tcBorders>
              <w:top w:val="nil"/>
              <w:left w:val="nil"/>
              <w:bottom w:val="nil"/>
              <w:right w:val="nil"/>
            </w:tcBorders>
          </w:tcPr>
          <w:p w14:paraId="6E5A9217"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Performance declines as clustering disrupts uniform wettability, leading to variability in oil rejection.</w:t>
            </w:r>
          </w:p>
        </w:tc>
        <w:tc>
          <w:tcPr>
            <w:tcW w:w="1533" w:type="dxa"/>
            <w:tcBorders>
              <w:top w:val="nil"/>
              <w:left w:val="nil"/>
              <w:bottom w:val="nil"/>
              <w:right w:val="nil"/>
            </w:tcBorders>
          </w:tcPr>
          <w:p w14:paraId="23A37BE3" w14:textId="77777777" w:rsidR="00C62E57" w:rsidRPr="00FF4E7C" w:rsidRDefault="00C62E57" w:rsidP="002137A1">
            <w:pPr>
              <w:rPr>
                <w:rFonts w:ascii="Times New Roman" w:hAnsi="Times New Roman" w:cs="Times New Roman"/>
              </w:rPr>
            </w:pPr>
          </w:p>
        </w:tc>
      </w:tr>
      <w:tr w:rsidR="00C62E57" w14:paraId="3AE5F223" w14:textId="77777777" w:rsidTr="002137A1">
        <w:tc>
          <w:tcPr>
            <w:tcW w:w="1910" w:type="dxa"/>
            <w:tcBorders>
              <w:top w:val="nil"/>
              <w:left w:val="nil"/>
              <w:bottom w:val="nil"/>
              <w:right w:val="nil"/>
            </w:tcBorders>
          </w:tcPr>
          <w:p w14:paraId="5D63F2E0"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Third coating</w:t>
            </w:r>
          </w:p>
        </w:tc>
        <w:tc>
          <w:tcPr>
            <w:tcW w:w="1873" w:type="dxa"/>
            <w:tcBorders>
              <w:top w:val="nil"/>
              <w:left w:val="nil"/>
              <w:bottom w:val="nil"/>
              <w:right w:val="nil"/>
            </w:tcBorders>
          </w:tcPr>
          <w:p w14:paraId="5E696459"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27177</w:t>
            </w:r>
          </w:p>
        </w:tc>
        <w:tc>
          <w:tcPr>
            <w:tcW w:w="2177" w:type="dxa"/>
            <w:tcBorders>
              <w:top w:val="nil"/>
              <w:left w:val="nil"/>
              <w:bottom w:val="nil"/>
              <w:right w:val="nil"/>
            </w:tcBorders>
          </w:tcPr>
          <w:p w14:paraId="0C3B9688" w14:textId="77777777" w:rsidR="00C62E57" w:rsidRPr="00C62E57" w:rsidRDefault="00C62E57" w:rsidP="002137A1">
            <w:pPr>
              <w:tabs>
                <w:tab w:val="left" w:pos="469"/>
              </w:tabs>
              <w:jc w:val="center"/>
              <w:rPr>
                <w:rFonts w:ascii="Times New Roman" w:hAnsi="Times New Roman" w:cs="Times New Roman"/>
                <w:sz w:val="18"/>
                <w:szCs w:val="18"/>
              </w:rPr>
            </w:pPr>
            <w:r w:rsidRPr="00C62E57">
              <w:rPr>
                <w:rFonts w:ascii="Times New Roman" w:hAnsi="Times New Roman" w:cs="Times New Roman"/>
                <w:sz w:val="18"/>
                <w:szCs w:val="18"/>
              </w:rPr>
              <w:t>Significant clustering, excessive roughness, irregular surface morphology.</w:t>
            </w:r>
          </w:p>
        </w:tc>
        <w:tc>
          <w:tcPr>
            <w:tcW w:w="1533" w:type="dxa"/>
            <w:tcBorders>
              <w:top w:val="nil"/>
              <w:left w:val="nil"/>
              <w:bottom w:val="nil"/>
              <w:right w:val="nil"/>
            </w:tcBorders>
          </w:tcPr>
          <w:p w14:paraId="650A9DF8" w14:textId="77777777" w:rsidR="00C62E57" w:rsidRPr="00C62E57" w:rsidRDefault="00C62E57" w:rsidP="002137A1">
            <w:pPr>
              <w:tabs>
                <w:tab w:val="left" w:pos="469"/>
              </w:tabs>
              <w:jc w:val="center"/>
              <w:rPr>
                <w:rFonts w:ascii="Times New Roman" w:hAnsi="Times New Roman" w:cs="Times New Roman"/>
                <w:sz w:val="18"/>
                <w:szCs w:val="18"/>
              </w:rPr>
            </w:pPr>
            <w:r w:rsidRPr="00C62E57">
              <w:rPr>
                <w:rFonts w:ascii="Times New Roman" w:hAnsi="Times New Roman" w:cs="Times New Roman"/>
                <w:sz w:val="18"/>
                <w:szCs w:val="18"/>
              </w:rPr>
              <w:t>Inefficient separation due to excessive nanoparticle layers and clustering, which trap oil and reduce hydrophobicity.</w:t>
            </w:r>
          </w:p>
        </w:tc>
        <w:tc>
          <w:tcPr>
            <w:tcW w:w="1533" w:type="dxa"/>
            <w:tcBorders>
              <w:top w:val="nil"/>
              <w:left w:val="nil"/>
              <w:bottom w:val="nil"/>
              <w:right w:val="nil"/>
            </w:tcBorders>
          </w:tcPr>
          <w:p w14:paraId="635B26A2" w14:textId="77777777" w:rsidR="00C62E57" w:rsidRPr="00FF4E7C" w:rsidRDefault="00C62E57" w:rsidP="002137A1">
            <w:pPr>
              <w:tabs>
                <w:tab w:val="left" w:pos="469"/>
              </w:tabs>
              <w:rPr>
                <w:rFonts w:ascii="Times New Roman" w:hAnsi="Times New Roman" w:cs="Times New Roman"/>
              </w:rPr>
            </w:pPr>
          </w:p>
        </w:tc>
      </w:tr>
      <w:tr w:rsidR="00C62E57" w14:paraId="69E6AEA2" w14:textId="77777777" w:rsidTr="002137A1">
        <w:tc>
          <w:tcPr>
            <w:tcW w:w="1910" w:type="dxa"/>
            <w:tcBorders>
              <w:top w:val="nil"/>
              <w:left w:val="nil"/>
              <w:right w:val="nil"/>
            </w:tcBorders>
          </w:tcPr>
          <w:p w14:paraId="22870807"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Fourth coating</w:t>
            </w:r>
          </w:p>
        </w:tc>
        <w:tc>
          <w:tcPr>
            <w:tcW w:w="1873" w:type="dxa"/>
            <w:tcBorders>
              <w:top w:val="nil"/>
              <w:left w:val="nil"/>
              <w:right w:val="nil"/>
            </w:tcBorders>
          </w:tcPr>
          <w:p w14:paraId="314BA9D1" w14:textId="77777777" w:rsidR="00C62E57" w:rsidRPr="00C62E57" w:rsidRDefault="00C62E57" w:rsidP="002137A1">
            <w:pPr>
              <w:jc w:val="center"/>
              <w:rPr>
                <w:rFonts w:ascii="Times New Roman" w:hAnsi="Times New Roman" w:cs="Times New Roman"/>
                <w:sz w:val="18"/>
                <w:szCs w:val="18"/>
              </w:rPr>
            </w:pPr>
            <w:r w:rsidRPr="00C62E57">
              <w:rPr>
                <w:rFonts w:ascii="Times New Roman" w:hAnsi="Times New Roman" w:cs="Times New Roman"/>
                <w:sz w:val="18"/>
                <w:szCs w:val="18"/>
              </w:rPr>
              <w:t>73439.7</w:t>
            </w:r>
          </w:p>
        </w:tc>
        <w:tc>
          <w:tcPr>
            <w:tcW w:w="2177" w:type="dxa"/>
            <w:tcBorders>
              <w:top w:val="nil"/>
              <w:left w:val="nil"/>
              <w:right w:val="nil"/>
            </w:tcBorders>
          </w:tcPr>
          <w:p w14:paraId="3EBE9663" w14:textId="77777777" w:rsidR="00C62E57" w:rsidRPr="00C62E57" w:rsidRDefault="00C62E57" w:rsidP="002137A1">
            <w:pPr>
              <w:tabs>
                <w:tab w:val="left" w:pos="229"/>
              </w:tabs>
              <w:jc w:val="center"/>
              <w:rPr>
                <w:rFonts w:ascii="Times New Roman" w:hAnsi="Times New Roman" w:cs="Times New Roman"/>
                <w:sz w:val="18"/>
                <w:szCs w:val="18"/>
              </w:rPr>
            </w:pPr>
            <w:r w:rsidRPr="00C62E57">
              <w:rPr>
                <w:rFonts w:ascii="Times New Roman" w:hAnsi="Times New Roman" w:cs="Times New Roman"/>
                <w:sz w:val="18"/>
                <w:szCs w:val="18"/>
              </w:rPr>
              <w:t>Oversaturated surface with severe clustering and disrupted morphology.</w:t>
            </w:r>
          </w:p>
        </w:tc>
        <w:tc>
          <w:tcPr>
            <w:tcW w:w="1533" w:type="dxa"/>
            <w:tcBorders>
              <w:top w:val="nil"/>
              <w:left w:val="nil"/>
              <w:right w:val="nil"/>
            </w:tcBorders>
          </w:tcPr>
          <w:p w14:paraId="309C172D" w14:textId="77777777" w:rsidR="00C62E57" w:rsidRPr="00C62E57" w:rsidRDefault="00C62E57" w:rsidP="002137A1">
            <w:pPr>
              <w:tabs>
                <w:tab w:val="left" w:pos="229"/>
              </w:tabs>
              <w:jc w:val="center"/>
              <w:rPr>
                <w:rFonts w:ascii="Times New Roman" w:hAnsi="Times New Roman" w:cs="Times New Roman"/>
                <w:sz w:val="18"/>
                <w:szCs w:val="18"/>
              </w:rPr>
            </w:pPr>
            <w:r w:rsidRPr="00C62E57">
              <w:rPr>
                <w:rFonts w:ascii="Times New Roman" w:hAnsi="Times New Roman" w:cs="Times New Roman"/>
                <w:sz w:val="18"/>
                <w:szCs w:val="18"/>
              </w:rPr>
              <w:t>Extremely poor performance; oversaturation causes irregularities, leading to oil retention and minimal water separation efficiency.</w:t>
            </w:r>
          </w:p>
        </w:tc>
        <w:tc>
          <w:tcPr>
            <w:tcW w:w="1533" w:type="dxa"/>
            <w:tcBorders>
              <w:top w:val="nil"/>
              <w:left w:val="nil"/>
              <w:right w:val="nil"/>
            </w:tcBorders>
          </w:tcPr>
          <w:p w14:paraId="6F31F090" w14:textId="77777777" w:rsidR="00C62E57" w:rsidRPr="00FF4E7C" w:rsidRDefault="00C62E57" w:rsidP="002137A1">
            <w:pPr>
              <w:tabs>
                <w:tab w:val="left" w:pos="229"/>
              </w:tabs>
              <w:rPr>
                <w:rFonts w:ascii="Times New Roman" w:hAnsi="Times New Roman" w:cs="Times New Roman"/>
              </w:rPr>
            </w:pPr>
          </w:p>
        </w:tc>
      </w:tr>
    </w:tbl>
    <w:p w14:paraId="51C67376" w14:textId="77777777" w:rsidR="00C62E57" w:rsidRDefault="00C62E57" w:rsidP="00C62E57"/>
    <w:p w14:paraId="7B03DC5F" w14:textId="77777777" w:rsidR="00CB0C5C" w:rsidRDefault="00CB0C5C" w:rsidP="00CB0C5C">
      <w:pPr>
        <w:tabs>
          <w:tab w:val="left" w:pos="280"/>
        </w:tabs>
        <w:rPr>
          <w:rFonts w:ascii="Times New Roman" w:hAnsi="Times New Roman" w:cs="Times New Roman"/>
          <w:lang w:val="en-ZA"/>
        </w:rPr>
      </w:pPr>
    </w:p>
    <w:p w14:paraId="66E0BD9A" w14:textId="1EADB4CD" w:rsidR="005357B7" w:rsidRPr="005357B7" w:rsidRDefault="005357B7" w:rsidP="005357B7">
      <w:pPr>
        <w:ind w:firstLine="204"/>
        <w:rPr>
          <w:lang w:val="en-ZA"/>
        </w:rPr>
      </w:pPr>
      <w:r w:rsidRPr="005357B7">
        <w:rPr>
          <w:lang w:val="en-ZA"/>
        </w:rPr>
        <w:t xml:space="preserve">The analysis of </w:t>
      </w:r>
      <w:r w:rsidRPr="005357B7">
        <w:rPr>
          <w:bCs/>
          <w:lang w:val="en-ZA"/>
        </w:rPr>
        <w:t>Table 2</w:t>
      </w:r>
      <w:r w:rsidRPr="005357B7">
        <w:rPr>
          <w:lang w:val="en-ZA"/>
        </w:rPr>
        <w:t xml:space="preserve"> highlights the critical impact of surface morphology and nanoparticle distribution on the quartz material's ability to separate oil from water. The raw and washed quartz materials demonstrated poor separation efficiency due to the absence of hydrophobic properties, as indicated by high oil and grease content (1859.8 mg/L and 1583.7 mg/L, respectively). Washing improved surface cleanliness but did not significantly enhance wettability.</w:t>
      </w:r>
    </w:p>
    <w:p w14:paraId="56D6A53F" w14:textId="77777777" w:rsidR="005357B7" w:rsidRPr="005357B7" w:rsidRDefault="005357B7" w:rsidP="005357B7">
      <w:pPr>
        <w:ind w:firstLine="204"/>
        <w:rPr>
          <w:lang w:val="en-ZA"/>
        </w:rPr>
      </w:pPr>
      <w:r w:rsidRPr="005357B7">
        <w:rPr>
          <w:lang w:val="en-ZA"/>
        </w:rPr>
        <w:t>The first coating of hydrophobic nanoparticles showed exceptional performance, reducing oil and grease content to 29.3 mg/L. This was attributed to the uniform nanoparticle distribution observed in the SEM analysis, which created an optimal balance of surface roughness and smoothness. This configuration enhanced wettability, allowing efficient oil rejection and water permeation.</w:t>
      </w:r>
    </w:p>
    <w:p w14:paraId="038E35BC" w14:textId="77777777" w:rsidR="005357B7" w:rsidRPr="005357B7" w:rsidRDefault="005357B7" w:rsidP="005357B7">
      <w:pPr>
        <w:ind w:firstLine="204"/>
        <w:rPr>
          <w:lang w:val="en-ZA"/>
        </w:rPr>
      </w:pPr>
      <w:r w:rsidRPr="005357B7">
        <w:rPr>
          <w:lang w:val="en-ZA"/>
        </w:rPr>
        <w:t>Subsequent coatings (second to fourth) led to a decline in separation efficiency, with oil and grease content increasing dramatically. The SEM analysis revealed that additional coatings introduced clustering, excessive surface roughness, and irregular morphology, disrupting the uniform wettability necessary for effective oil-water separation. The oversaturation of nanoparticles in the fourth coating resulted in severe inefficiencies, with oil and grease content rising to 73439.7 mg/L.</w:t>
      </w:r>
    </w:p>
    <w:p w14:paraId="01B02A98" w14:textId="224C42AF" w:rsidR="005357B7" w:rsidRPr="005357B7" w:rsidRDefault="005357B7" w:rsidP="005357B7">
      <w:pPr>
        <w:ind w:firstLine="204"/>
        <w:rPr>
          <w:lang w:val="en-ZA"/>
        </w:rPr>
      </w:pPr>
      <w:r>
        <w:rPr>
          <w:lang w:val="en-ZA"/>
        </w:rPr>
        <w:t>Overall observation</w:t>
      </w:r>
      <w:r w:rsidRPr="005357B7">
        <w:rPr>
          <w:lang w:val="en-ZA"/>
        </w:rPr>
        <w:t>, the findings underscore that a single, well-distributed coating of hydrophobic nanoparticles provides optimal separation performance, while excessive nanoparticle layering diminishes efficiency due to surface irregularities and clustering. These results emphasize the importance of optimizing coating processes for practical applications in oil-water separation technologies.</w:t>
      </w:r>
    </w:p>
    <w:p w14:paraId="2C8C977E" w14:textId="77777777" w:rsidR="00E85EEA" w:rsidRDefault="00E85EEA" w:rsidP="00AD255D">
      <w:pPr>
        <w:rPr>
          <w:rFonts w:ascii="Times New Roman" w:eastAsia="Times New Roman" w:hAnsi="Times New Roman" w:cs="Times New Roman"/>
        </w:rPr>
      </w:pPr>
    </w:p>
    <w:p w14:paraId="289C94D1" w14:textId="77777777" w:rsidR="00E85EEA" w:rsidRDefault="00E85EEA">
      <w:pPr>
        <w:tabs>
          <w:tab w:val="left" w:pos="280"/>
        </w:tabs>
        <w:ind w:firstLine="200"/>
        <w:jc w:val="center"/>
        <w:rPr>
          <w:color w:val="000000"/>
        </w:rPr>
      </w:pPr>
    </w:p>
    <w:p w14:paraId="1A05D9D0" w14:textId="77777777" w:rsidR="00E85EEA" w:rsidRDefault="00000000">
      <w:pPr>
        <w:numPr>
          <w:ilvl w:val="0"/>
          <w:numId w:val="1"/>
        </w:numPr>
        <w:ind w:left="420" w:hanging="400"/>
        <w:rPr>
          <w:b/>
        </w:rPr>
      </w:pPr>
      <w:r>
        <w:rPr>
          <w:b/>
        </w:rPr>
        <w:t>CONCLUSIONS</w:t>
      </w:r>
    </w:p>
    <w:p w14:paraId="6D81C9C4" w14:textId="77777777" w:rsidR="00E85EEA" w:rsidRDefault="00E85EEA">
      <w:pPr>
        <w:ind w:left="420"/>
        <w:rPr>
          <w:b/>
        </w:rPr>
      </w:pPr>
    </w:p>
    <w:p w14:paraId="48D95803" w14:textId="253AB9ED" w:rsidR="00751248" w:rsidRPr="00751248" w:rsidRDefault="00751248" w:rsidP="00751248">
      <w:pPr>
        <w:ind w:firstLine="204"/>
        <w:rPr>
          <w:lang w:val="en-ZA"/>
        </w:rPr>
      </w:pPr>
      <w:r w:rsidRPr="00751248">
        <w:rPr>
          <w:lang w:val="en-ZA"/>
        </w:rPr>
        <w:t>This study demonstrates the effectiveness of hydrophobic nanoparticle coatings on quartz material for oil-water separation. The results indicate that the first coating of hydrophobic nanoparticles significantly enhanced the wettability of the quartz surface, leading to optimal oil rejection efficiency and improved separation performance. SEM analysis revealed that uniform nanoparticle distribution and balanced surface roughness were crucial factors in achieving high separation efficiency. However, subsequent coatings (second to fourth) resulted in clustering and irregular surface morphology, which negatively impacted the material's ability to separate oil from water, as seen by the increase in oil and grease content.</w:t>
      </w:r>
    </w:p>
    <w:p w14:paraId="0C39DFC2" w14:textId="77777777" w:rsidR="00751248" w:rsidRDefault="00751248" w:rsidP="00751248">
      <w:pPr>
        <w:ind w:firstLine="204"/>
      </w:pPr>
      <w:r w:rsidRPr="00751248">
        <w:rPr>
          <w:lang w:val="en-ZA"/>
        </w:rPr>
        <w:t>The developed mathematical models provided a quantitative framework for evaluating oil rejection efficiency, surface morphology, and separation performance. These models reinforced the conclusion that a single, well-distributed coating of hydrophobic nanoparticles offers the most efficient solution for oil-water separation. The study underscores the potential of using low-cost quartz material with optimized nanoparticle coatings as an effective and sustainable approach to treating oily wastewater, contributing to the development of more efficient, environmentally friendly filtration technologies.</w:t>
      </w:r>
      <w:r w:rsidRPr="00751248">
        <w:t xml:space="preserve"> </w:t>
      </w:r>
    </w:p>
    <w:p w14:paraId="55123BA3" w14:textId="6788F55D" w:rsidR="00751248" w:rsidRPr="00751248" w:rsidRDefault="00751248" w:rsidP="00751248">
      <w:pPr>
        <w:ind w:firstLine="204"/>
        <w:rPr>
          <w:lang w:val="en-ZA"/>
        </w:rPr>
      </w:pPr>
      <w:r w:rsidRPr="00751248">
        <w:t xml:space="preserve">While the first coating of hydrophobic nanoparticles showed the best performance, further investigations into the optimal thickness, type, and concentration of nanoparticles can </w:t>
      </w:r>
      <w:r w:rsidRPr="00751248">
        <w:lastRenderedPageBreak/>
        <w:t>help maximize oil rejection efficiency without introducing clustering or irregularities on the surface.</w:t>
      </w:r>
    </w:p>
    <w:p w14:paraId="27264FCD" w14:textId="3786C02C" w:rsidR="00E85EEA" w:rsidRDefault="00E85EEA">
      <w:pPr>
        <w:ind w:firstLine="204"/>
      </w:pPr>
    </w:p>
    <w:p w14:paraId="03D03F06" w14:textId="77777777" w:rsidR="00E85EEA" w:rsidRDefault="00E85EEA">
      <w:pPr>
        <w:ind w:firstLine="200"/>
      </w:pPr>
    </w:p>
    <w:p w14:paraId="670E6A98" w14:textId="77777777" w:rsidR="00E85EEA" w:rsidRDefault="00000000">
      <w:pPr>
        <w:pStyle w:val="Heading1"/>
        <w:spacing w:before="0" w:after="0"/>
      </w:pPr>
      <w:r>
        <w:t>acknowledgment</w:t>
      </w:r>
    </w:p>
    <w:p w14:paraId="2F1C49DF" w14:textId="23842960" w:rsidR="00E85EEA" w:rsidRDefault="00000000">
      <w:pPr>
        <w:ind w:firstLine="204"/>
      </w:pPr>
      <w:r>
        <w:t xml:space="preserve">This work is supported by the </w:t>
      </w:r>
      <w:r w:rsidR="00AD255D">
        <w:t>University of South Africa.</w:t>
      </w:r>
    </w:p>
    <w:p w14:paraId="6B4AC521" w14:textId="77777777" w:rsidR="00E85EEA" w:rsidRDefault="00E85EEA">
      <w:pPr>
        <w:ind w:firstLine="200"/>
      </w:pPr>
    </w:p>
    <w:p w14:paraId="2E796A04" w14:textId="77777777" w:rsidR="00E85EEA" w:rsidRDefault="00000000">
      <w:pPr>
        <w:tabs>
          <w:tab w:val="left" w:pos="284"/>
        </w:tabs>
        <w:rPr>
          <w:b/>
        </w:rPr>
      </w:pPr>
      <w:r>
        <w:rPr>
          <w:b/>
        </w:rPr>
        <w:t xml:space="preserve">REFERENCES </w:t>
      </w:r>
    </w:p>
    <w:p w14:paraId="459BC952" w14:textId="77777777" w:rsidR="00E85EEA" w:rsidRDefault="00E85EEA"/>
    <w:p w14:paraId="5217242D" w14:textId="77777777" w:rsidR="003D11B5" w:rsidRDefault="003D11B5"/>
    <w:p w14:paraId="6C62362E" w14:textId="4412DE84" w:rsidR="003D11B5" w:rsidRPr="003D11B5" w:rsidRDefault="003D11B5" w:rsidP="003D11B5">
      <w:pPr>
        <w:widowControl w:val="0"/>
        <w:autoSpaceDE w:val="0"/>
        <w:autoSpaceDN w:val="0"/>
        <w:adjustRightInd w:val="0"/>
        <w:ind w:left="640" w:hanging="640"/>
        <w:rPr>
          <w:noProof/>
        </w:rPr>
      </w:pPr>
      <w:r>
        <w:t>[</w:t>
      </w:r>
      <w:r>
        <w:fldChar w:fldCharType="begin" w:fldLock="1"/>
      </w:r>
      <w:r>
        <w:instrText xml:space="preserve">ADDIN Mendeley Bibliography CSL_BIBLIOGRAPHY </w:instrText>
      </w:r>
      <w:r>
        <w:fldChar w:fldCharType="separate"/>
      </w:r>
      <w:r w:rsidRPr="003D11B5">
        <w:rPr>
          <w:noProof/>
        </w:rPr>
        <w:t>1</w:t>
      </w:r>
      <w:r>
        <w:rPr>
          <w:noProof/>
        </w:rPr>
        <w:t>]</w:t>
      </w:r>
      <w:r w:rsidRPr="003D11B5">
        <w:rPr>
          <w:noProof/>
        </w:rPr>
        <w:tab/>
        <w:t>Kalla S. Use of membrane distillation for oily wastewater treatment - A review, J Environ Chem Eng, 2021; 9:104641.</w:t>
      </w:r>
    </w:p>
    <w:p w14:paraId="0EC566D2" w14:textId="2C81AC0A" w:rsidR="003D11B5" w:rsidRPr="003D11B5" w:rsidRDefault="003D11B5" w:rsidP="003D11B5">
      <w:pPr>
        <w:widowControl w:val="0"/>
        <w:autoSpaceDE w:val="0"/>
        <w:autoSpaceDN w:val="0"/>
        <w:adjustRightInd w:val="0"/>
        <w:ind w:left="640" w:hanging="640"/>
        <w:rPr>
          <w:noProof/>
        </w:rPr>
      </w:pPr>
      <w:r>
        <w:rPr>
          <w:noProof/>
        </w:rPr>
        <w:t>[</w:t>
      </w:r>
      <w:r w:rsidRPr="003D11B5">
        <w:rPr>
          <w:noProof/>
        </w:rPr>
        <w:t>2</w:t>
      </w:r>
      <w:r>
        <w:rPr>
          <w:noProof/>
        </w:rPr>
        <w:t>]</w:t>
      </w:r>
      <w:r w:rsidRPr="003D11B5">
        <w:rPr>
          <w:noProof/>
        </w:rPr>
        <w:tab/>
        <w:t>Avornyo A, Chrysikopoulos C V. Applications of graphene oxide (GO) in oily wastewater treatment: Recent developments, challenges, and opportunities, J Environ Manage, 2024; 353:120178.</w:t>
      </w:r>
    </w:p>
    <w:p w14:paraId="46062D2D" w14:textId="223F91BB" w:rsidR="003D11B5" w:rsidRPr="003D11B5" w:rsidRDefault="003D11B5" w:rsidP="003D11B5">
      <w:pPr>
        <w:widowControl w:val="0"/>
        <w:autoSpaceDE w:val="0"/>
        <w:autoSpaceDN w:val="0"/>
        <w:adjustRightInd w:val="0"/>
        <w:ind w:left="640" w:hanging="640"/>
        <w:rPr>
          <w:noProof/>
        </w:rPr>
      </w:pPr>
      <w:r>
        <w:rPr>
          <w:noProof/>
        </w:rPr>
        <w:t>[</w:t>
      </w:r>
      <w:r w:rsidRPr="003D11B5">
        <w:rPr>
          <w:noProof/>
        </w:rPr>
        <w:t>3</w:t>
      </w:r>
      <w:r>
        <w:rPr>
          <w:noProof/>
        </w:rPr>
        <w:t>]</w:t>
      </w:r>
      <w:r w:rsidRPr="003D11B5">
        <w:rPr>
          <w:noProof/>
        </w:rPr>
        <w:tab/>
        <w:t>Barambu NU, Bilad MR, Bustam MA, Kurnia KA, Othman MHD, Nordin NAHM. Development of membrane material for oily wastewater treatment: A review, Ain Shams Eng J, 2021; 12:1361–1374.</w:t>
      </w:r>
    </w:p>
    <w:p w14:paraId="75FFFB99" w14:textId="57F418B7" w:rsidR="003D11B5" w:rsidRPr="003D11B5" w:rsidRDefault="003D11B5" w:rsidP="003D11B5">
      <w:pPr>
        <w:widowControl w:val="0"/>
        <w:autoSpaceDE w:val="0"/>
        <w:autoSpaceDN w:val="0"/>
        <w:adjustRightInd w:val="0"/>
        <w:ind w:left="640" w:hanging="640"/>
        <w:rPr>
          <w:noProof/>
        </w:rPr>
      </w:pPr>
      <w:r>
        <w:rPr>
          <w:noProof/>
        </w:rPr>
        <w:t>[</w:t>
      </w:r>
      <w:r w:rsidRPr="003D11B5">
        <w:rPr>
          <w:noProof/>
        </w:rPr>
        <w:t>4</w:t>
      </w:r>
      <w:r>
        <w:rPr>
          <w:noProof/>
        </w:rPr>
        <w:t>]</w:t>
      </w:r>
      <w:r w:rsidRPr="003D11B5">
        <w:rPr>
          <w:noProof/>
        </w:rPr>
        <w:tab/>
        <w:t>Sahu S, Dhar Purkayastha D. WO3·H2O micro-flowers decorated PVDF/Ti3C2 MXene membrane for oily wastewater treatment, Sep Purif Technol, 2024; 330:125486.</w:t>
      </w:r>
    </w:p>
    <w:p w14:paraId="78641E21" w14:textId="7898AF1E" w:rsidR="003D11B5" w:rsidRPr="003D11B5" w:rsidRDefault="003D11B5" w:rsidP="003D11B5">
      <w:pPr>
        <w:widowControl w:val="0"/>
        <w:autoSpaceDE w:val="0"/>
        <w:autoSpaceDN w:val="0"/>
        <w:adjustRightInd w:val="0"/>
        <w:ind w:left="640" w:hanging="640"/>
        <w:rPr>
          <w:noProof/>
        </w:rPr>
      </w:pPr>
      <w:r>
        <w:rPr>
          <w:noProof/>
        </w:rPr>
        <w:t>[</w:t>
      </w:r>
      <w:r w:rsidRPr="003D11B5">
        <w:rPr>
          <w:noProof/>
        </w:rPr>
        <w:t>5</w:t>
      </w:r>
      <w:r>
        <w:rPr>
          <w:noProof/>
        </w:rPr>
        <w:t>]</w:t>
      </w:r>
      <w:r w:rsidRPr="003D11B5">
        <w:rPr>
          <w:noProof/>
        </w:rPr>
        <w:tab/>
        <w:t>Wang J, Liu T, Lu C, Gong C, Miao M, Wei Z, Wang Y. Efficient oil-in-water emulsion separation in the low-cost bauxite ceramic membranes with hierarchically oriented straight pores, Sep Purif Technol, 2022; 303:122244.</w:t>
      </w:r>
    </w:p>
    <w:p w14:paraId="33E4DA71" w14:textId="79B58167" w:rsidR="003D11B5" w:rsidRPr="003D11B5" w:rsidRDefault="003D11B5" w:rsidP="003D11B5">
      <w:pPr>
        <w:widowControl w:val="0"/>
        <w:autoSpaceDE w:val="0"/>
        <w:autoSpaceDN w:val="0"/>
        <w:adjustRightInd w:val="0"/>
        <w:ind w:left="640" w:hanging="640"/>
        <w:rPr>
          <w:noProof/>
        </w:rPr>
      </w:pPr>
      <w:r>
        <w:rPr>
          <w:noProof/>
        </w:rPr>
        <w:t>[</w:t>
      </w:r>
      <w:r w:rsidRPr="003D11B5">
        <w:rPr>
          <w:noProof/>
        </w:rPr>
        <w:t>6</w:t>
      </w:r>
      <w:r>
        <w:rPr>
          <w:noProof/>
        </w:rPr>
        <w:t>]</w:t>
      </w:r>
      <w:r w:rsidRPr="003D11B5">
        <w:rPr>
          <w:noProof/>
        </w:rPr>
        <w:tab/>
        <w:t>Jiang Q, Lin B, Zhong Z, Fan Y, Xing W. Ultra-low temperature co-sintering of water glass (WG)-bonded silicon carbide ceramic membranes for oil-water separation, J Memb Sci, 2024; 692:122311.</w:t>
      </w:r>
    </w:p>
    <w:p w14:paraId="6D9CDDAA" w14:textId="6100D938" w:rsidR="003D11B5" w:rsidRPr="003D11B5" w:rsidRDefault="003D11B5" w:rsidP="003D11B5">
      <w:pPr>
        <w:widowControl w:val="0"/>
        <w:autoSpaceDE w:val="0"/>
        <w:autoSpaceDN w:val="0"/>
        <w:adjustRightInd w:val="0"/>
        <w:ind w:left="640" w:hanging="640"/>
        <w:rPr>
          <w:noProof/>
        </w:rPr>
      </w:pPr>
      <w:r>
        <w:rPr>
          <w:noProof/>
        </w:rPr>
        <w:t>[</w:t>
      </w:r>
      <w:r w:rsidRPr="003D11B5">
        <w:rPr>
          <w:noProof/>
        </w:rPr>
        <w:t>7</w:t>
      </w:r>
      <w:r>
        <w:rPr>
          <w:noProof/>
        </w:rPr>
        <w:t>]</w:t>
      </w:r>
      <w:r w:rsidRPr="003D11B5">
        <w:rPr>
          <w:noProof/>
        </w:rPr>
        <w:tab/>
        <w:t>Sun Y, Yang Z, Li L, Wang Z, Sun Q. Facile preparation of isotactic polypropylene microporous membranes with bioinspired hierarchical morphology for nano-scale water-in-oil emulsion separation, J Memb Sci, 2019; 581:224–235.</w:t>
      </w:r>
    </w:p>
    <w:p w14:paraId="35F0C0F0" w14:textId="4EA3548E" w:rsidR="003D11B5" w:rsidRPr="003D11B5" w:rsidRDefault="003D11B5" w:rsidP="003D11B5">
      <w:pPr>
        <w:widowControl w:val="0"/>
        <w:autoSpaceDE w:val="0"/>
        <w:autoSpaceDN w:val="0"/>
        <w:adjustRightInd w:val="0"/>
        <w:ind w:left="640" w:hanging="640"/>
        <w:rPr>
          <w:noProof/>
        </w:rPr>
      </w:pPr>
      <w:r>
        <w:rPr>
          <w:noProof/>
        </w:rPr>
        <w:t>[</w:t>
      </w:r>
      <w:r w:rsidRPr="003D11B5">
        <w:rPr>
          <w:noProof/>
        </w:rPr>
        <w:t>8</w:t>
      </w:r>
      <w:r>
        <w:rPr>
          <w:noProof/>
        </w:rPr>
        <w:t>]</w:t>
      </w:r>
      <w:r w:rsidRPr="003D11B5">
        <w:rPr>
          <w:noProof/>
        </w:rPr>
        <w:tab/>
        <w:t>Abu-Thabit NY, Kalam Azad A, Mezghani K, Akhtar S, Saeed Hakeem A, Drmosh QA, Yusuf Adesina A. Rapid, Sustainable, and Versatile Strategy Towards Fabricating Superhydrophobic Cotton Textile Membranes for Separation of Emulsified and Stratified Oil/Water Mixtures, Sep Purif Technol, 2024; 330:125352.</w:t>
      </w:r>
    </w:p>
    <w:p w14:paraId="70268C87" w14:textId="132C0A45" w:rsidR="003D11B5" w:rsidRPr="003D11B5" w:rsidRDefault="003D11B5" w:rsidP="003D11B5">
      <w:pPr>
        <w:widowControl w:val="0"/>
        <w:autoSpaceDE w:val="0"/>
        <w:autoSpaceDN w:val="0"/>
        <w:adjustRightInd w:val="0"/>
        <w:ind w:left="640" w:hanging="640"/>
        <w:rPr>
          <w:noProof/>
        </w:rPr>
      </w:pPr>
      <w:r>
        <w:rPr>
          <w:noProof/>
        </w:rPr>
        <w:t>[</w:t>
      </w:r>
      <w:r w:rsidRPr="003D11B5">
        <w:rPr>
          <w:noProof/>
        </w:rPr>
        <w:t>9</w:t>
      </w:r>
      <w:r>
        <w:rPr>
          <w:noProof/>
        </w:rPr>
        <w:t>]</w:t>
      </w:r>
      <w:r w:rsidRPr="003D11B5">
        <w:rPr>
          <w:noProof/>
        </w:rPr>
        <w:tab/>
        <w:t>Abuhantash F, Abuhasheesh YH, Hegab HM, Aljundi IH, Al Marzooqi F, Hasan SW. Hydrophilic, oleophilic and switchable Janus mixed matrix membranes for oily wastewater treatment: A review, J Water Process Eng, 2023; 56:104310.</w:t>
      </w:r>
    </w:p>
    <w:p w14:paraId="11EA12FA" w14:textId="02AAA879" w:rsidR="003D11B5" w:rsidRPr="003D11B5" w:rsidRDefault="003D11B5" w:rsidP="003D11B5">
      <w:pPr>
        <w:widowControl w:val="0"/>
        <w:autoSpaceDE w:val="0"/>
        <w:autoSpaceDN w:val="0"/>
        <w:adjustRightInd w:val="0"/>
        <w:ind w:left="640" w:hanging="640"/>
        <w:rPr>
          <w:noProof/>
        </w:rPr>
      </w:pPr>
      <w:r>
        <w:rPr>
          <w:noProof/>
        </w:rPr>
        <w:t>[</w:t>
      </w:r>
      <w:r w:rsidRPr="003D11B5">
        <w:rPr>
          <w:noProof/>
        </w:rPr>
        <w:t>10</w:t>
      </w:r>
      <w:r>
        <w:rPr>
          <w:noProof/>
        </w:rPr>
        <w:t>]</w:t>
      </w:r>
      <w:r w:rsidRPr="003D11B5">
        <w:rPr>
          <w:noProof/>
        </w:rPr>
        <w:tab/>
        <w:t>Sun L, Wang Z, Gao B. Ceramic membranes originated from cost-effective and abundant natural minerals and industrial wastes for broad applications – a review, Desalin Water Treat, 2020; 201:121–138.</w:t>
      </w:r>
    </w:p>
    <w:p w14:paraId="5BE6C514" w14:textId="49769F3F" w:rsidR="003D11B5" w:rsidRPr="003D11B5" w:rsidRDefault="003D11B5" w:rsidP="003D11B5">
      <w:pPr>
        <w:widowControl w:val="0"/>
        <w:autoSpaceDE w:val="0"/>
        <w:autoSpaceDN w:val="0"/>
        <w:adjustRightInd w:val="0"/>
        <w:ind w:left="640" w:hanging="640"/>
        <w:rPr>
          <w:noProof/>
        </w:rPr>
      </w:pPr>
      <w:r>
        <w:rPr>
          <w:noProof/>
        </w:rPr>
        <w:t>[</w:t>
      </w:r>
      <w:r w:rsidRPr="003D11B5">
        <w:rPr>
          <w:noProof/>
        </w:rPr>
        <w:t>11</w:t>
      </w:r>
      <w:r>
        <w:rPr>
          <w:noProof/>
        </w:rPr>
        <w:t>]</w:t>
      </w:r>
      <w:r w:rsidRPr="003D11B5">
        <w:rPr>
          <w:noProof/>
        </w:rPr>
        <w:tab/>
        <w:t>Mao H, Cao H, Fan W, Li W, Wu Y, Chen X, Qiu M, Verweij H, Fan Y. Application of piezoelectric quartz for self-cleaning membrane preparation, Ceram Int, 2022; 48:16599–16610.</w:t>
      </w:r>
    </w:p>
    <w:p w14:paraId="3F237C50" w14:textId="5185F4FC" w:rsidR="003D11B5" w:rsidRPr="003D11B5" w:rsidRDefault="003D11B5" w:rsidP="003D11B5">
      <w:pPr>
        <w:widowControl w:val="0"/>
        <w:autoSpaceDE w:val="0"/>
        <w:autoSpaceDN w:val="0"/>
        <w:adjustRightInd w:val="0"/>
        <w:ind w:left="640" w:hanging="640"/>
        <w:rPr>
          <w:noProof/>
        </w:rPr>
      </w:pPr>
      <w:r>
        <w:rPr>
          <w:noProof/>
        </w:rPr>
        <w:t>[</w:t>
      </w:r>
      <w:r w:rsidRPr="003D11B5">
        <w:rPr>
          <w:noProof/>
        </w:rPr>
        <w:t>12</w:t>
      </w:r>
      <w:r>
        <w:rPr>
          <w:noProof/>
        </w:rPr>
        <w:t>]</w:t>
      </w:r>
      <w:r w:rsidRPr="003D11B5">
        <w:rPr>
          <w:noProof/>
        </w:rPr>
        <w:tab/>
        <w:t>Gao J, Cao H, Hu X, Mao H, Chen X, Qiu M, Verweij H, Fan Y. Journal of the European Ceramic Society Piezoelectric porous α -quartz membrane by aqueous gel-casting with enhanced antifouling and mechanical properties, J Eur Ceram Soc, 2023; 43:109–120.</w:t>
      </w:r>
    </w:p>
    <w:p w14:paraId="4F64E00E" w14:textId="7824D8DE" w:rsidR="003D11B5" w:rsidRPr="003D11B5" w:rsidRDefault="003D11B5" w:rsidP="003D11B5">
      <w:pPr>
        <w:widowControl w:val="0"/>
        <w:autoSpaceDE w:val="0"/>
        <w:autoSpaceDN w:val="0"/>
        <w:adjustRightInd w:val="0"/>
        <w:ind w:left="640" w:hanging="640"/>
        <w:rPr>
          <w:noProof/>
        </w:rPr>
      </w:pPr>
      <w:r>
        <w:rPr>
          <w:noProof/>
        </w:rPr>
        <w:t>[</w:t>
      </w:r>
      <w:r w:rsidRPr="003D11B5">
        <w:rPr>
          <w:noProof/>
        </w:rPr>
        <w:t>13</w:t>
      </w:r>
      <w:r>
        <w:rPr>
          <w:noProof/>
        </w:rPr>
        <w:t>]</w:t>
      </w:r>
      <w:r w:rsidRPr="003D11B5">
        <w:rPr>
          <w:noProof/>
        </w:rPr>
        <w:tab/>
        <w:t>Sob PB, Alugongo AA, Tengen TB. The stochastic effect of nanoparticles inter-separation distance on membrane wettability during oil/water separation, Int J Eng Res Technol, 2020; 13:842–866.</w:t>
      </w:r>
    </w:p>
    <w:p w14:paraId="6BF44E80" w14:textId="1389432C"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14</w:t>
      </w:r>
      <w:r>
        <w:rPr>
          <w:noProof/>
        </w:rPr>
        <w:t>]</w:t>
      </w:r>
      <w:r w:rsidR="003D11B5" w:rsidRPr="003D11B5">
        <w:rPr>
          <w:noProof/>
        </w:rPr>
        <w:tab/>
        <w:t>Wei B, Luo X, Song X, Guo H, Dai L, Zhang H, Wang G. Quartz sand filter media with special wettability for continuous and efficient oil/water separation and dye adsorption, Processes, 2020; 8:.</w:t>
      </w:r>
    </w:p>
    <w:p w14:paraId="16748767" w14:textId="77B03F45"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15</w:t>
      </w:r>
      <w:r>
        <w:rPr>
          <w:noProof/>
        </w:rPr>
        <w:t>]</w:t>
      </w:r>
      <w:r w:rsidR="003D11B5" w:rsidRPr="003D11B5">
        <w:rPr>
          <w:noProof/>
        </w:rPr>
        <w:tab/>
        <w:t>Guan C, Xu F, Li Y, Zhu L, Xia D. Construction of dual-functional membrane with novel structured β-cyclodextrin hybridization for simultaneous oily wastewater separation and hazardous aromatics removal, J Water Process Eng, 2022; 47:102756.</w:t>
      </w:r>
    </w:p>
    <w:p w14:paraId="0F7B3A7C" w14:textId="773ABBD9"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16</w:t>
      </w:r>
      <w:r>
        <w:rPr>
          <w:noProof/>
        </w:rPr>
        <w:t>]</w:t>
      </w:r>
      <w:r w:rsidR="003D11B5" w:rsidRPr="003D11B5">
        <w:rPr>
          <w:noProof/>
        </w:rPr>
        <w:tab/>
        <w:t>Liu P, Niu L, Tao X, Li X, Zhang Z, Yu L. Preparation of superhydrophobic-oleophilic quartz sand filter and its application in oil-water separation, Appl Surf Sci, 2018; 447:656–663.</w:t>
      </w:r>
    </w:p>
    <w:p w14:paraId="057F6624" w14:textId="7FD23666"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17</w:t>
      </w:r>
      <w:r>
        <w:rPr>
          <w:noProof/>
        </w:rPr>
        <w:t>]</w:t>
      </w:r>
      <w:r w:rsidR="003D11B5" w:rsidRPr="003D11B5">
        <w:rPr>
          <w:noProof/>
        </w:rPr>
        <w:tab/>
        <w:t>Sadek SA, Al-Jubouri SM. Highly efficient oil-in-water emulsion separation based on innovative stannic oxide/polyvinylchloride (SnO2/PVC) microfiltration membranes, J Ind Eng Chem, 2024; 140:577–588.</w:t>
      </w:r>
    </w:p>
    <w:p w14:paraId="037E244F" w14:textId="2EBFBFB1"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18</w:t>
      </w:r>
      <w:r>
        <w:rPr>
          <w:noProof/>
        </w:rPr>
        <w:t>]</w:t>
      </w:r>
      <w:r w:rsidR="003D11B5" w:rsidRPr="003D11B5">
        <w:rPr>
          <w:noProof/>
        </w:rPr>
        <w:tab/>
        <w:t>Sara A. Sadek SMA-J. Highly efficient oil-in-water emulsion separation based on innovative stannic oxide/polyvinylchloride (SnO2/PVC) microfiltration membranes, Prog To Be Publ, 2024; .</w:t>
      </w:r>
    </w:p>
    <w:p w14:paraId="1943AB24" w14:textId="33E58631"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19</w:t>
      </w:r>
      <w:r>
        <w:rPr>
          <w:noProof/>
        </w:rPr>
        <w:t>]</w:t>
      </w:r>
      <w:r w:rsidR="003D11B5" w:rsidRPr="003D11B5">
        <w:rPr>
          <w:noProof/>
        </w:rPr>
        <w:tab/>
        <w:t>Yu X, Ji J, Wu QY, Gu L. Direct-coating of cellulose hydrogel on PVDF membranes with superhydrophilic and antifouling properties for high-efficiency oil/water emulsion separation, Int J Biol Macromol, 2024; 256:128579.</w:t>
      </w:r>
    </w:p>
    <w:p w14:paraId="54093FA5" w14:textId="7D901114"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20</w:t>
      </w:r>
      <w:r>
        <w:rPr>
          <w:noProof/>
        </w:rPr>
        <w:t>]</w:t>
      </w:r>
      <w:r w:rsidR="003D11B5" w:rsidRPr="003D11B5">
        <w:rPr>
          <w:noProof/>
        </w:rPr>
        <w:tab/>
        <w:t>Wang T, Wang W, Hu C, Zheng J, Zhu Z, Liu B. Design of carboxymethyl cellulose/alginate aerogels with anti-fouling and light-driven self-cleaning for enhanced oily wastewater remediation, Carbohydr Polym, 2024; 342:122358.</w:t>
      </w:r>
    </w:p>
    <w:p w14:paraId="01DB864B" w14:textId="6C44BCDB"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21</w:t>
      </w:r>
      <w:r>
        <w:rPr>
          <w:noProof/>
        </w:rPr>
        <w:t>]</w:t>
      </w:r>
      <w:r w:rsidR="003D11B5" w:rsidRPr="003D11B5">
        <w:rPr>
          <w:noProof/>
        </w:rPr>
        <w:tab/>
        <w:t>Siddiqui MU, Arif AFM, Bashmal S. Permeability-selectivity analysis of microfiltration and ultrafiltration membranes: Effect of pore size and shape distribution and membrane stretching, Membranes (Basel), 2016; 6:1–14.</w:t>
      </w:r>
    </w:p>
    <w:p w14:paraId="5DBBAD8E" w14:textId="3293B210"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22</w:t>
      </w:r>
      <w:r>
        <w:rPr>
          <w:noProof/>
        </w:rPr>
        <w:t>]</w:t>
      </w:r>
      <w:r w:rsidR="003D11B5" w:rsidRPr="003D11B5">
        <w:rPr>
          <w:noProof/>
        </w:rPr>
        <w:tab/>
        <w:t>Salama A. Modeling of flux decline behavior during the filtration of oily-water systems using porous membranes: Effect of pinning of nonpermeating oil droplets, Sep Purif Technol, 2018; 207:240–254.</w:t>
      </w:r>
    </w:p>
    <w:p w14:paraId="03FE1747" w14:textId="064D6453"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23</w:t>
      </w:r>
      <w:r>
        <w:rPr>
          <w:noProof/>
        </w:rPr>
        <w:t>]</w:t>
      </w:r>
      <w:r w:rsidR="003D11B5" w:rsidRPr="003D11B5">
        <w:rPr>
          <w:noProof/>
        </w:rPr>
        <w:tab/>
        <w:t>Tummons EN, Tarabara V V., Chew JW, Fane AG. Behavior of oil droplets at the membrane surface during crossflow microfiltration of oil-water emulsions, J Memb Sci, 2016; 500:211–224.</w:t>
      </w:r>
    </w:p>
    <w:p w14:paraId="45CFBE7B" w14:textId="77AFB9D6"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24</w:t>
      </w:r>
      <w:r>
        <w:rPr>
          <w:noProof/>
        </w:rPr>
        <w:t>]</w:t>
      </w:r>
      <w:r w:rsidR="003D11B5" w:rsidRPr="003D11B5">
        <w:rPr>
          <w:noProof/>
        </w:rPr>
        <w:tab/>
        <w:t>Yue C, Liu J, Zhang H, Dai L, Wei B, Chang Q. Increasing the hydrophobicity of filter medium particles for oily water treatment using coupling agents, Heliyon, 2018; 4:e00809.</w:t>
      </w:r>
    </w:p>
    <w:p w14:paraId="4DCB5DA8" w14:textId="66C400F3" w:rsidR="003D11B5" w:rsidRPr="003D11B5" w:rsidRDefault="003D11B5" w:rsidP="003D11B5">
      <w:pPr>
        <w:widowControl w:val="0"/>
        <w:autoSpaceDE w:val="0"/>
        <w:autoSpaceDN w:val="0"/>
        <w:adjustRightInd w:val="0"/>
        <w:ind w:left="640" w:hanging="640"/>
        <w:rPr>
          <w:noProof/>
        </w:rPr>
      </w:pPr>
      <w:r>
        <w:rPr>
          <w:noProof/>
        </w:rPr>
        <w:t>[</w:t>
      </w:r>
      <w:r w:rsidRPr="003D11B5">
        <w:rPr>
          <w:noProof/>
        </w:rPr>
        <w:t>25</w:t>
      </w:r>
      <w:r>
        <w:rPr>
          <w:noProof/>
        </w:rPr>
        <w:t>]</w:t>
      </w:r>
      <w:r w:rsidRPr="003D11B5">
        <w:rPr>
          <w:noProof/>
        </w:rPr>
        <w:tab/>
        <w:t>Basak S, Barma S, Majumdar S, Ghosh S. Silane-modified bentonite clay-coated membrane development on ceramic support for oil/water emulsion separation using tuning of hydrophobicity, Colloids Surfaces A Physicochem Eng Asp, 2024; 681:132812.</w:t>
      </w:r>
    </w:p>
    <w:p w14:paraId="0DD4E23B" w14:textId="26A4C6C1" w:rsidR="003D11B5" w:rsidRPr="003D11B5" w:rsidRDefault="003D11B5" w:rsidP="003D11B5">
      <w:pPr>
        <w:widowControl w:val="0"/>
        <w:autoSpaceDE w:val="0"/>
        <w:autoSpaceDN w:val="0"/>
        <w:adjustRightInd w:val="0"/>
        <w:ind w:left="640" w:hanging="640"/>
        <w:rPr>
          <w:noProof/>
        </w:rPr>
      </w:pPr>
      <w:r>
        <w:rPr>
          <w:noProof/>
        </w:rPr>
        <w:t>[</w:t>
      </w:r>
      <w:r w:rsidRPr="003D11B5">
        <w:rPr>
          <w:noProof/>
        </w:rPr>
        <w:t>26</w:t>
      </w:r>
      <w:r>
        <w:rPr>
          <w:noProof/>
        </w:rPr>
        <w:t>]</w:t>
      </w:r>
      <w:r w:rsidRPr="003D11B5">
        <w:rPr>
          <w:noProof/>
        </w:rPr>
        <w:tab/>
        <w:t>Zhang Z, Yang Y, Li C, Liu R. Porous nanofibrous superhydrophobic membrane with embedded Au nanoparticles for the integration of oil/water separation and catalytic degradation, J Memb Sci, 2019; 582:350–357.</w:t>
      </w:r>
    </w:p>
    <w:p w14:paraId="3AF7B000" w14:textId="3866B3F5" w:rsidR="003D11B5" w:rsidRPr="003D11B5" w:rsidRDefault="003D11B5" w:rsidP="003D11B5">
      <w:pPr>
        <w:widowControl w:val="0"/>
        <w:autoSpaceDE w:val="0"/>
        <w:autoSpaceDN w:val="0"/>
        <w:adjustRightInd w:val="0"/>
        <w:ind w:left="640" w:hanging="640"/>
        <w:rPr>
          <w:noProof/>
        </w:rPr>
      </w:pPr>
      <w:r>
        <w:rPr>
          <w:noProof/>
        </w:rPr>
        <w:t>[</w:t>
      </w:r>
      <w:r w:rsidRPr="003D11B5">
        <w:rPr>
          <w:noProof/>
        </w:rPr>
        <w:t>27</w:t>
      </w:r>
      <w:r>
        <w:rPr>
          <w:noProof/>
        </w:rPr>
        <w:t>]</w:t>
      </w:r>
      <w:r w:rsidRPr="003D11B5">
        <w:rPr>
          <w:noProof/>
        </w:rPr>
        <w:tab/>
        <w:t xml:space="preserve">Mao H, Fan W, Cao H, Chen X, Qiu M, Verweij H, </w:t>
      </w:r>
      <w:r w:rsidRPr="003D11B5">
        <w:rPr>
          <w:noProof/>
        </w:rPr>
        <w:lastRenderedPageBreak/>
        <w:t>Fan Y. Self-cleaning performance of in-situ ultrasound generated by quartz-based piezoelectric membrane, Sep Purif Technol, 2022; 282:120031.</w:t>
      </w:r>
    </w:p>
    <w:p w14:paraId="4B27BD2D" w14:textId="0141570B"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28</w:t>
      </w:r>
      <w:r>
        <w:rPr>
          <w:noProof/>
        </w:rPr>
        <w:t>]</w:t>
      </w:r>
      <w:r w:rsidR="003D11B5" w:rsidRPr="003D11B5">
        <w:rPr>
          <w:noProof/>
        </w:rPr>
        <w:tab/>
        <w:t>Sun F, Li TT, Ren HT, Lou CW, Lin JH. Rational design of dopamine-decorated gradient structure membrane with novel hydrophibic/underwater-oleophobic for oil/water separation, J Mater Res Technol, 2023; 22:2251–2261.</w:t>
      </w:r>
    </w:p>
    <w:p w14:paraId="4E9144A2" w14:textId="6FE25DF8"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29</w:t>
      </w:r>
      <w:r>
        <w:rPr>
          <w:noProof/>
        </w:rPr>
        <w:t>]</w:t>
      </w:r>
      <w:r w:rsidR="003D11B5" w:rsidRPr="003D11B5">
        <w:rPr>
          <w:noProof/>
        </w:rPr>
        <w:tab/>
        <w:t xml:space="preserve">Li Z, Zhao L, Wang L, Xiao X, Wang X, An H, Ye H, </w:t>
      </w:r>
      <w:r w:rsidR="003D11B5" w:rsidRPr="003D11B5">
        <w:rPr>
          <w:noProof/>
        </w:rPr>
        <w:t>Xin Q, Zhang Y. Photothermal responsive liquid-filled membrane with anti-fouling properties for oil/water separation, J Memb Sci, 2024; 696:122546.</w:t>
      </w:r>
    </w:p>
    <w:p w14:paraId="3602DA29" w14:textId="6163DC33" w:rsidR="003D11B5" w:rsidRPr="003D11B5" w:rsidRDefault="00F1256F" w:rsidP="003D11B5">
      <w:pPr>
        <w:widowControl w:val="0"/>
        <w:autoSpaceDE w:val="0"/>
        <w:autoSpaceDN w:val="0"/>
        <w:adjustRightInd w:val="0"/>
        <w:ind w:left="640" w:hanging="640"/>
        <w:rPr>
          <w:noProof/>
        </w:rPr>
      </w:pPr>
      <w:r>
        <w:rPr>
          <w:noProof/>
        </w:rPr>
        <w:t>[</w:t>
      </w:r>
      <w:r w:rsidR="003D11B5" w:rsidRPr="003D11B5">
        <w:rPr>
          <w:noProof/>
        </w:rPr>
        <w:t>30</w:t>
      </w:r>
      <w:r>
        <w:rPr>
          <w:noProof/>
        </w:rPr>
        <w:t>]</w:t>
      </w:r>
      <w:r w:rsidR="003D11B5" w:rsidRPr="003D11B5">
        <w:rPr>
          <w:noProof/>
        </w:rPr>
        <w:tab/>
        <w:t>Francis L, Mohammed S, Hashaikeh R, Hilal N. Fabrication and characterization of superhydrophilic graphene-based electrospun membranes for efficient oil-water separation, J Water Process Eng, 2023; 54:104066.</w:t>
      </w:r>
    </w:p>
    <w:p w14:paraId="29DD19F9" w14:textId="250B89DC" w:rsidR="003D11B5" w:rsidRDefault="003D11B5">
      <w:pPr>
        <w:sectPr w:rsidR="003D11B5">
          <w:type w:val="continuous"/>
          <w:pgSz w:w="11879" w:h="16817"/>
          <w:pgMar w:top="794" w:right="734" w:bottom="1134" w:left="734" w:header="737" w:footer="737" w:gutter="0"/>
          <w:cols w:num="2" w:space="720" w:equalWidth="0">
            <w:col w:w="4950" w:space="510"/>
            <w:col w:w="4950" w:space="0"/>
          </w:cols>
          <w:titlePg/>
        </w:sectPr>
      </w:pPr>
      <w:r>
        <w:fldChar w:fldCharType="end"/>
      </w:r>
    </w:p>
    <w:p w14:paraId="223A2CB7" w14:textId="77777777" w:rsidR="00E85EEA" w:rsidRDefault="00E85EEA">
      <w:pPr>
        <w:spacing w:line="20" w:lineRule="auto"/>
        <w:rPr>
          <w:rFonts w:ascii="Times New Roman" w:eastAsia="Times New Roman" w:hAnsi="Times New Roman" w:cs="Times New Roman"/>
        </w:rPr>
      </w:pPr>
    </w:p>
    <w:p w14:paraId="5397C758" w14:textId="77777777" w:rsidR="00751248" w:rsidRDefault="00751248" w:rsidP="00751248">
      <w:pPr>
        <w:rPr>
          <w:rFonts w:ascii="Times New Roman" w:eastAsia="Times New Roman" w:hAnsi="Times New Roman" w:cs="Times New Roman"/>
        </w:rPr>
      </w:pPr>
    </w:p>
    <w:p w14:paraId="7E040D37" w14:textId="77777777" w:rsidR="00751248" w:rsidRPr="00751248" w:rsidRDefault="00751248" w:rsidP="00751248">
      <w:pPr>
        <w:rPr>
          <w:rFonts w:ascii="Times New Roman" w:eastAsia="Times New Roman" w:hAnsi="Times New Roman" w:cs="Times New Roman"/>
        </w:rPr>
      </w:pPr>
    </w:p>
    <w:sectPr w:rsidR="00751248" w:rsidRPr="00751248">
      <w:type w:val="continuous"/>
      <w:pgSz w:w="11879" w:h="16817"/>
      <w:pgMar w:top="794" w:right="734" w:bottom="1134" w:left="734"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8ED52" w14:textId="77777777" w:rsidR="008151A2" w:rsidRDefault="008151A2">
      <w:r>
        <w:separator/>
      </w:r>
    </w:p>
  </w:endnote>
  <w:endnote w:type="continuationSeparator" w:id="0">
    <w:p w14:paraId="0EBC6C81" w14:textId="77777777" w:rsidR="008151A2" w:rsidRDefault="0081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altName w:val="Arial Narrow"/>
    <w:panose1 w:val="020B0604020202020204"/>
    <w:charset w:val="00"/>
    <w:family w:val="swiss"/>
    <w:pitch w:val="variable"/>
    <w:sig w:usb0="E0002EFF" w:usb1="C0007843" w:usb2="00000009" w:usb3="00000000" w:csb0="000001FF" w:csb1="00000000"/>
  </w:font>
  <w:font w:name="STZhongsong">
    <w:charset w:val="86"/>
    <w:family w:val="auto"/>
    <w:pitch w:val="variable"/>
    <w:sig w:usb0="00000287" w:usb1="080F0000" w:usb2="00000010" w:usb3="00000000" w:csb0="0004009F"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EDC63" w14:textId="77777777" w:rsidR="00E85EEA" w:rsidRDefault="00E85EEA">
    <w:pPr>
      <w:pBdr>
        <w:top w:val="nil"/>
        <w:left w:val="nil"/>
        <w:bottom w:val="nil"/>
        <w:right w:val="nil"/>
        <w:between w:val="nil"/>
      </w:pBdr>
      <w:tabs>
        <w:tab w:val="center" w:pos="4153"/>
        <w:tab w:val="right" w:pos="8306"/>
      </w:tabs>
      <w:jc w:val="cente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B503D7" w14:textId="77777777" w:rsidR="008151A2" w:rsidRDefault="008151A2">
      <w:r>
        <w:separator/>
      </w:r>
    </w:p>
  </w:footnote>
  <w:footnote w:type="continuationSeparator" w:id="0">
    <w:p w14:paraId="0FB37572" w14:textId="77777777" w:rsidR="008151A2" w:rsidRDefault="008151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A678A"/>
    <w:multiLevelType w:val="multilevel"/>
    <w:tmpl w:val="C63CA0E6"/>
    <w:lvl w:ilvl="0">
      <w:start w:val="1"/>
      <w:numFmt w:val="decimal"/>
      <w:pStyle w:val="References"/>
      <w:lvlText w:val="%1."/>
      <w:lvlJc w:val="left"/>
      <w:pPr>
        <w:ind w:left="0" w:firstLine="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3FBD6A5F"/>
    <w:multiLevelType w:val="multilevel"/>
    <w:tmpl w:val="FC028496"/>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FB273D"/>
    <w:multiLevelType w:val="multilevel"/>
    <w:tmpl w:val="FBD6CF9A"/>
    <w:lvl w:ilvl="0">
      <w:start w:val="1"/>
      <w:numFmt w:val="decimal"/>
      <w:lvlText w:val="(%1)"/>
      <w:lvlJc w:val="left"/>
      <w:pPr>
        <w:ind w:left="540" w:hanging="360"/>
      </w:pPr>
    </w:lvl>
    <w:lvl w:ilvl="1">
      <w:start w:val="1"/>
      <w:numFmt w:val="lowerLetter"/>
      <w:pStyle w:val="CETHeading1"/>
      <w:lvlText w:val="%2."/>
      <w:lvlJc w:val="left"/>
      <w:pPr>
        <w:ind w:left="1530" w:hanging="360"/>
      </w:pPr>
    </w:lvl>
    <w:lvl w:ilvl="2">
      <w:start w:val="1"/>
      <w:numFmt w:val="lowerRoman"/>
      <w:pStyle w:val="CETheadingx"/>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 w15:restartNumberingAfterBreak="0">
    <w:nsid w:val="59432949"/>
    <w:multiLevelType w:val="multilevel"/>
    <w:tmpl w:val="4370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C2786F"/>
    <w:multiLevelType w:val="multilevel"/>
    <w:tmpl w:val="249A8A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AE56EAF"/>
    <w:multiLevelType w:val="hybridMultilevel"/>
    <w:tmpl w:val="C50CF4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270702826">
    <w:abstractNumId w:val="0"/>
  </w:num>
  <w:num w:numId="2" w16cid:durableId="268971261">
    <w:abstractNumId w:val="2"/>
  </w:num>
  <w:num w:numId="3" w16cid:durableId="1119762464">
    <w:abstractNumId w:val="1"/>
  </w:num>
  <w:num w:numId="4" w16cid:durableId="1833133946">
    <w:abstractNumId w:val="4"/>
  </w:num>
  <w:num w:numId="5" w16cid:durableId="515729628">
    <w:abstractNumId w:val="5"/>
  </w:num>
  <w:num w:numId="6" w16cid:durableId="12271112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EEA"/>
    <w:rsid w:val="00075611"/>
    <w:rsid w:val="000A0CE6"/>
    <w:rsid w:val="000A68A0"/>
    <w:rsid w:val="00121E02"/>
    <w:rsid w:val="001277E2"/>
    <w:rsid w:val="00144E40"/>
    <w:rsid w:val="001470B0"/>
    <w:rsid w:val="00193486"/>
    <w:rsid w:val="001A4697"/>
    <w:rsid w:val="001B6C2E"/>
    <w:rsid w:val="00207D9F"/>
    <w:rsid w:val="00212759"/>
    <w:rsid w:val="00295109"/>
    <w:rsid w:val="00305340"/>
    <w:rsid w:val="0036067A"/>
    <w:rsid w:val="00370DC1"/>
    <w:rsid w:val="003B0F14"/>
    <w:rsid w:val="003D11B5"/>
    <w:rsid w:val="003E33E4"/>
    <w:rsid w:val="00472F91"/>
    <w:rsid w:val="004B4836"/>
    <w:rsid w:val="004E3AE6"/>
    <w:rsid w:val="00522A2D"/>
    <w:rsid w:val="005357B7"/>
    <w:rsid w:val="005D655F"/>
    <w:rsid w:val="005E13E9"/>
    <w:rsid w:val="00637604"/>
    <w:rsid w:val="00745DB4"/>
    <w:rsid w:val="00751248"/>
    <w:rsid w:val="007820FA"/>
    <w:rsid w:val="00797607"/>
    <w:rsid w:val="007B590D"/>
    <w:rsid w:val="007F31A6"/>
    <w:rsid w:val="0081287C"/>
    <w:rsid w:val="00813E7A"/>
    <w:rsid w:val="008151A2"/>
    <w:rsid w:val="009109A4"/>
    <w:rsid w:val="00943E30"/>
    <w:rsid w:val="009477DD"/>
    <w:rsid w:val="00961EA4"/>
    <w:rsid w:val="00A27FDC"/>
    <w:rsid w:val="00AB3810"/>
    <w:rsid w:val="00AD255D"/>
    <w:rsid w:val="00AE185B"/>
    <w:rsid w:val="00AF34D7"/>
    <w:rsid w:val="00B11ECB"/>
    <w:rsid w:val="00B75682"/>
    <w:rsid w:val="00BA20DF"/>
    <w:rsid w:val="00BF671B"/>
    <w:rsid w:val="00C04192"/>
    <w:rsid w:val="00C27BB9"/>
    <w:rsid w:val="00C50EE2"/>
    <w:rsid w:val="00C53D35"/>
    <w:rsid w:val="00C62E57"/>
    <w:rsid w:val="00C653FD"/>
    <w:rsid w:val="00C878E6"/>
    <w:rsid w:val="00CA680A"/>
    <w:rsid w:val="00CB0C5C"/>
    <w:rsid w:val="00CB5EF4"/>
    <w:rsid w:val="00CC317E"/>
    <w:rsid w:val="00CD4A0E"/>
    <w:rsid w:val="00D15A07"/>
    <w:rsid w:val="00D8467A"/>
    <w:rsid w:val="00D86AB1"/>
    <w:rsid w:val="00DC4629"/>
    <w:rsid w:val="00E104D3"/>
    <w:rsid w:val="00E218AE"/>
    <w:rsid w:val="00E36CE8"/>
    <w:rsid w:val="00E71245"/>
    <w:rsid w:val="00E85EEA"/>
    <w:rsid w:val="00EA6B94"/>
    <w:rsid w:val="00F1256F"/>
    <w:rsid w:val="00FC656A"/>
    <w:rsid w:val="00FF736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46601"/>
  <w15:docId w15:val="{C8DDEA49-CEE5-45FC-921C-5E4D6F01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w:lang w:val="en-US" w:eastAsia="en-ZA"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19A"/>
    <w:rPr>
      <w:lang w:val="it-IT" w:eastAsia="it-IT"/>
    </w:rPr>
  </w:style>
  <w:style w:type="paragraph" w:styleId="Heading1">
    <w:name w:val="heading 1"/>
    <w:basedOn w:val="Normal"/>
    <w:next w:val="Normal"/>
    <w:link w:val="Heading1Char"/>
    <w:uiPriority w:val="9"/>
    <w:qFormat/>
    <w:rsid w:val="0092319A"/>
    <w:pPr>
      <w:keepNext/>
      <w:spacing w:before="480" w:after="240"/>
      <w:outlineLvl w:val="0"/>
    </w:pPr>
    <w:rPr>
      <w:b/>
      <w:caps/>
      <w:lang w:bidi="fa-IR"/>
    </w:rPr>
  </w:style>
  <w:style w:type="paragraph" w:styleId="Heading2">
    <w:name w:val="heading 2"/>
    <w:basedOn w:val="Normal"/>
    <w:next w:val="Normal"/>
    <w:uiPriority w:val="9"/>
    <w:unhideWhenUsed/>
    <w:qFormat/>
    <w:rsid w:val="0092319A"/>
    <w:pPr>
      <w:keepNext/>
      <w:spacing w:before="240" w:after="240"/>
      <w:outlineLvl w:val="1"/>
    </w:pPr>
    <w:rPr>
      <w:b/>
    </w:rPr>
  </w:style>
  <w:style w:type="paragraph" w:styleId="Heading3">
    <w:name w:val="heading 3"/>
    <w:basedOn w:val="Normal"/>
    <w:next w:val="1"/>
    <w:uiPriority w:val="9"/>
    <w:semiHidden/>
    <w:unhideWhenUsed/>
    <w:qFormat/>
    <w:rsid w:val="0092319A"/>
    <w:pPr>
      <w:ind w:left="354"/>
      <w:outlineLvl w:val="2"/>
    </w:pPr>
    <w:rPr>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CommentTextChar">
    <w:name w:val="Comment Text Char"/>
    <w:link w:val="CommentText"/>
    <w:uiPriority w:val="99"/>
    <w:rsid w:val="0092319A"/>
    <w:rPr>
      <w:rFonts w:ascii="Times" w:hAnsi="Times"/>
      <w:lang w:val="it-IT" w:eastAsia="it-IT"/>
    </w:rPr>
  </w:style>
  <w:style w:type="character" w:styleId="Hyperlink">
    <w:name w:val="Hyperlink"/>
    <w:unhideWhenUsed/>
    <w:rsid w:val="0092319A"/>
    <w:rPr>
      <w:color w:val="0000FF"/>
      <w:u w:val="single"/>
    </w:rPr>
  </w:style>
  <w:style w:type="character" w:customStyle="1" w:styleId="BalloonTextChar">
    <w:name w:val="Balloon Text Char"/>
    <w:link w:val="BalloonText"/>
    <w:uiPriority w:val="99"/>
    <w:semiHidden/>
    <w:rsid w:val="0092319A"/>
    <w:rPr>
      <w:rFonts w:ascii="Microsoft YaHei UI" w:eastAsia="Microsoft YaHei UI" w:hAnsi="Times"/>
      <w:sz w:val="18"/>
      <w:szCs w:val="18"/>
      <w:lang w:val="it-IT" w:eastAsia="it-IT"/>
    </w:rPr>
  </w:style>
  <w:style w:type="character" w:customStyle="1" w:styleId="ReferenceHeadChar">
    <w:name w:val="Reference Head Char"/>
    <w:link w:val="ReferenceHead"/>
    <w:rsid w:val="0092319A"/>
    <w:rPr>
      <w:rFonts w:ascii="Cambria" w:eastAsia="MS Gothic" w:hAnsi="Cambria"/>
      <w:smallCaps/>
      <w:color w:val="365F91"/>
      <w:kern w:val="28"/>
      <w:sz w:val="32"/>
      <w:szCs w:val="32"/>
      <w:lang w:eastAsia="en-US"/>
    </w:rPr>
  </w:style>
  <w:style w:type="character" w:customStyle="1" w:styleId="HeaderChar">
    <w:name w:val="Header Char"/>
    <w:link w:val="Header"/>
    <w:uiPriority w:val="99"/>
    <w:rsid w:val="0092319A"/>
    <w:rPr>
      <w:rFonts w:ascii="Times" w:hAnsi="Times"/>
      <w:sz w:val="18"/>
      <w:szCs w:val="18"/>
      <w:lang w:val="it-IT" w:eastAsia="it-IT"/>
    </w:rPr>
  </w:style>
  <w:style w:type="character" w:customStyle="1" w:styleId="FooterChar">
    <w:name w:val="Footer Char"/>
    <w:link w:val="Footer"/>
    <w:uiPriority w:val="99"/>
    <w:rsid w:val="0092319A"/>
    <w:rPr>
      <w:rFonts w:ascii="Times" w:hAnsi="Times"/>
      <w:sz w:val="18"/>
      <w:szCs w:val="18"/>
      <w:lang w:val="it-IT" w:eastAsia="it-IT"/>
    </w:rPr>
  </w:style>
  <w:style w:type="character" w:styleId="Emphasis">
    <w:name w:val="Emphasis"/>
    <w:uiPriority w:val="20"/>
    <w:qFormat/>
    <w:rsid w:val="0092319A"/>
    <w:rPr>
      <w:i/>
      <w:iCs/>
    </w:rPr>
  </w:style>
  <w:style w:type="character" w:customStyle="1" w:styleId="CETBodytextCarattere">
    <w:name w:val="CET Body text Carattere"/>
    <w:link w:val="CETBodytext"/>
    <w:rsid w:val="0092319A"/>
    <w:rPr>
      <w:rFonts w:ascii="Arial" w:eastAsia="Times New Roman" w:hAnsi="Arial"/>
      <w:sz w:val="18"/>
      <w:lang w:val="en-US" w:eastAsia="en-US" w:bidi="ar-SA"/>
    </w:rPr>
  </w:style>
  <w:style w:type="character" w:styleId="CommentReference">
    <w:name w:val="annotation reference"/>
    <w:uiPriority w:val="99"/>
    <w:unhideWhenUsed/>
    <w:rsid w:val="0092319A"/>
    <w:rPr>
      <w:sz w:val="16"/>
      <w:szCs w:val="16"/>
    </w:rPr>
  </w:style>
  <w:style w:type="character" w:customStyle="1" w:styleId="CommentSubjectChar">
    <w:name w:val="Comment Subject Char"/>
    <w:link w:val="CommentSubject"/>
    <w:uiPriority w:val="99"/>
    <w:semiHidden/>
    <w:rsid w:val="0092319A"/>
    <w:rPr>
      <w:rFonts w:ascii="Times" w:hAnsi="Times"/>
      <w:b/>
      <w:bCs/>
      <w:lang w:val="it-IT" w:eastAsia="it-IT"/>
    </w:rPr>
  </w:style>
  <w:style w:type="character" w:customStyle="1" w:styleId="Heading1Char">
    <w:name w:val="Heading 1 Char"/>
    <w:link w:val="Heading1"/>
    <w:rsid w:val="0092319A"/>
    <w:rPr>
      <w:rFonts w:ascii="Times" w:hAnsi="Times"/>
      <w:b/>
      <w:caps/>
      <w:lang w:val="it-IT" w:eastAsia="it-IT"/>
    </w:rPr>
  </w:style>
  <w:style w:type="paragraph" w:customStyle="1" w:styleId="References">
    <w:name w:val="References"/>
    <w:basedOn w:val="Normal"/>
    <w:rsid w:val="0092319A"/>
    <w:pPr>
      <w:numPr>
        <w:numId w:val="1"/>
      </w:numPr>
      <w:tabs>
        <w:tab w:val="left" w:pos="450"/>
      </w:tabs>
    </w:pPr>
    <w:rPr>
      <w:rFonts w:ascii="Times New Roman" w:eastAsia="Times New Roman" w:hAnsi="Times New Roman"/>
      <w:sz w:val="16"/>
      <w:szCs w:val="16"/>
      <w:lang w:val="en-US" w:eastAsia="en-US"/>
    </w:rPr>
  </w:style>
  <w:style w:type="paragraph" w:styleId="Footer">
    <w:name w:val="footer"/>
    <w:basedOn w:val="Normal"/>
    <w:link w:val="FooterChar"/>
    <w:uiPriority w:val="99"/>
    <w:unhideWhenUsed/>
    <w:rsid w:val="0092319A"/>
    <w:pPr>
      <w:tabs>
        <w:tab w:val="center" w:pos="4153"/>
        <w:tab w:val="right" w:pos="8306"/>
      </w:tabs>
      <w:snapToGrid w:val="0"/>
      <w:jc w:val="left"/>
    </w:pPr>
    <w:rPr>
      <w:sz w:val="18"/>
      <w:szCs w:val="18"/>
      <w:lang w:bidi="fa-IR"/>
    </w:rPr>
  </w:style>
  <w:style w:type="paragraph" w:styleId="BalloonText">
    <w:name w:val="Balloon Text"/>
    <w:basedOn w:val="Normal"/>
    <w:link w:val="BalloonTextChar"/>
    <w:uiPriority w:val="99"/>
    <w:unhideWhenUsed/>
    <w:rsid w:val="0092319A"/>
    <w:rPr>
      <w:rFonts w:ascii="Microsoft YaHei UI" w:eastAsia="Microsoft YaHei UI"/>
      <w:sz w:val="18"/>
      <w:szCs w:val="18"/>
      <w:lang w:bidi="fa-IR"/>
    </w:rPr>
  </w:style>
  <w:style w:type="paragraph" w:customStyle="1" w:styleId="4">
    <w:name w:val="标题4"/>
    <w:basedOn w:val="Normal"/>
    <w:rsid w:val="0092319A"/>
    <w:pPr>
      <w:spacing w:before="120" w:after="120" w:line="300" w:lineRule="exact"/>
      <w:jc w:val="left"/>
      <w:outlineLvl w:val="3"/>
    </w:pPr>
    <w:rPr>
      <w:rFonts w:eastAsia="STZhongsong"/>
      <w:sz w:val="24"/>
    </w:rPr>
  </w:style>
  <w:style w:type="paragraph" w:customStyle="1" w:styleId="CETheadingx">
    <w:name w:val="CET headingx"/>
    <w:next w:val="CETBodytext"/>
    <w:rsid w:val="0092319A"/>
    <w:pPr>
      <w:keepNext/>
      <w:numPr>
        <w:ilvl w:val="2"/>
        <w:numId w:val="2"/>
      </w:numPr>
      <w:suppressAutoHyphens/>
      <w:spacing w:before="120" w:after="200"/>
    </w:pPr>
    <w:rPr>
      <w:rFonts w:ascii="Arial" w:eastAsia="Times New Roman" w:hAnsi="Arial"/>
      <w:b/>
      <w:sz w:val="18"/>
      <w:lang w:eastAsia="en-US"/>
    </w:rPr>
  </w:style>
  <w:style w:type="paragraph" w:customStyle="1" w:styleId="VAX">
    <w:name w:val="VAX"/>
    <w:basedOn w:val="Normal"/>
    <w:rsid w:val="0092319A"/>
    <w:rPr>
      <w:rFonts w:ascii="Courier" w:hAnsi="Courier"/>
      <w:sz w:val="18"/>
    </w:rPr>
  </w:style>
  <w:style w:type="paragraph" w:styleId="CommentSubject">
    <w:name w:val="annotation subject"/>
    <w:basedOn w:val="CommentText"/>
    <w:next w:val="CommentText"/>
    <w:link w:val="CommentSubjectChar"/>
    <w:uiPriority w:val="99"/>
    <w:unhideWhenUsed/>
    <w:rsid w:val="0092319A"/>
    <w:rPr>
      <w:b/>
      <w:bCs/>
    </w:rPr>
  </w:style>
  <w:style w:type="paragraph" w:styleId="CommentText">
    <w:name w:val="annotation text"/>
    <w:basedOn w:val="Normal"/>
    <w:link w:val="CommentTextChar"/>
    <w:uiPriority w:val="99"/>
    <w:unhideWhenUsed/>
    <w:rsid w:val="0092319A"/>
    <w:rPr>
      <w:lang w:bidi="fa-IR"/>
    </w:rPr>
  </w:style>
  <w:style w:type="paragraph" w:customStyle="1" w:styleId="Text">
    <w:name w:val="Text"/>
    <w:basedOn w:val="Normal"/>
    <w:rsid w:val="0092319A"/>
    <w:pPr>
      <w:widowControl w:val="0"/>
      <w:spacing w:line="252" w:lineRule="auto"/>
      <w:ind w:firstLine="202"/>
    </w:pPr>
    <w:rPr>
      <w:rFonts w:ascii="Times New Roman" w:eastAsia="Times New Roman" w:hAnsi="Times New Roman"/>
      <w:lang w:val="en-US" w:eastAsia="en-US"/>
    </w:rPr>
  </w:style>
  <w:style w:type="paragraph" w:customStyle="1" w:styleId="Default">
    <w:name w:val="Default"/>
    <w:rsid w:val="0092319A"/>
    <w:pPr>
      <w:autoSpaceDE w:val="0"/>
      <w:autoSpaceDN w:val="0"/>
      <w:adjustRightInd w:val="0"/>
    </w:pPr>
    <w:rPr>
      <w:rFonts w:ascii="Times New Roman" w:hAnsi="Times New Roman"/>
      <w:color w:val="000000"/>
      <w:sz w:val="24"/>
      <w:szCs w:val="24"/>
      <w:lang w:val="it-IT" w:eastAsia="it-IT"/>
    </w:rPr>
  </w:style>
  <w:style w:type="paragraph" w:styleId="Header">
    <w:name w:val="header"/>
    <w:basedOn w:val="Normal"/>
    <w:link w:val="HeaderChar"/>
    <w:uiPriority w:val="99"/>
    <w:unhideWhenUsed/>
    <w:rsid w:val="0092319A"/>
    <w:pPr>
      <w:pBdr>
        <w:bottom w:val="single" w:sz="6" w:space="1" w:color="auto"/>
      </w:pBdr>
      <w:tabs>
        <w:tab w:val="center" w:pos="4153"/>
        <w:tab w:val="right" w:pos="8306"/>
      </w:tabs>
      <w:snapToGrid w:val="0"/>
      <w:jc w:val="center"/>
    </w:pPr>
    <w:rPr>
      <w:sz w:val="18"/>
      <w:szCs w:val="18"/>
      <w:lang w:bidi="fa-IR"/>
    </w:rPr>
  </w:style>
  <w:style w:type="paragraph" w:customStyle="1" w:styleId="1">
    <w:name w:val="正文缩进1"/>
    <w:basedOn w:val="Normal"/>
    <w:rsid w:val="0092319A"/>
    <w:pPr>
      <w:ind w:left="720"/>
    </w:pPr>
  </w:style>
  <w:style w:type="paragraph" w:customStyle="1" w:styleId="ReferenceHead">
    <w:name w:val="Reference Head"/>
    <w:basedOn w:val="Heading1"/>
    <w:link w:val="ReferenceHeadChar"/>
    <w:rsid w:val="0092319A"/>
    <w:pPr>
      <w:spacing w:before="240" w:after="80"/>
      <w:jc w:val="center"/>
    </w:pPr>
    <w:rPr>
      <w:rFonts w:ascii="Cambria" w:eastAsia="MS Gothic" w:hAnsi="Cambria"/>
      <w:b w:val="0"/>
      <w:caps w:val="0"/>
      <w:smallCaps/>
      <w:color w:val="365F91"/>
      <w:kern w:val="28"/>
      <w:sz w:val="32"/>
      <w:szCs w:val="32"/>
      <w:lang w:eastAsia="en-US"/>
    </w:rPr>
  </w:style>
  <w:style w:type="paragraph" w:customStyle="1" w:styleId="CETHeading1">
    <w:name w:val="CET Heading1"/>
    <w:next w:val="CETBodytext"/>
    <w:rsid w:val="0092319A"/>
    <w:pPr>
      <w:keepNext/>
      <w:numPr>
        <w:ilvl w:val="1"/>
        <w:numId w:val="2"/>
      </w:numPr>
      <w:suppressAutoHyphens/>
      <w:spacing w:before="240" w:after="120"/>
    </w:pPr>
    <w:rPr>
      <w:rFonts w:ascii="Arial" w:eastAsia="Times New Roman" w:hAnsi="Arial"/>
      <w:b/>
      <w:lang w:eastAsia="en-US"/>
    </w:rPr>
  </w:style>
  <w:style w:type="paragraph" w:customStyle="1" w:styleId="CETBodytext">
    <w:name w:val="CET Body text"/>
    <w:link w:val="CETBodytextCarattere"/>
    <w:qFormat/>
    <w:rsid w:val="0092319A"/>
    <w:pPr>
      <w:tabs>
        <w:tab w:val="right" w:pos="7100"/>
      </w:tabs>
      <w:spacing w:line="264" w:lineRule="auto"/>
    </w:pPr>
    <w:rPr>
      <w:rFonts w:ascii="Arial" w:eastAsia="Times New Roman" w:hAnsi="Arial"/>
      <w:sz w:val="18"/>
      <w:lang w:eastAsia="en-US"/>
    </w:rPr>
  </w:style>
  <w:style w:type="table" w:styleId="TableGrid">
    <w:name w:val="Table Grid"/>
    <w:basedOn w:val="TableNormal"/>
    <w:uiPriority w:val="39"/>
    <w:rsid w:val="00923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rsid w:val="0092319A"/>
    <w:pPr>
      <w:numPr>
        <w:ilvl w:val="3"/>
        <w:numId w:val="2"/>
      </w:numPr>
      <w:spacing w:line="264" w:lineRule="auto"/>
    </w:pPr>
    <w:rPr>
      <w:rFonts w:ascii="Times New Roman" w:eastAsia="Times New Roman" w:hAnsi="Times New Roman"/>
      <w:lang w:val="it-IT" w:eastAsia="it-IT"/>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styleId="FollowedHyperlink">
    <w:name w:val="FollowedHyperlink"/>
    <w:uiPriority w:val="99"/>
    <w:semiHidden/>
    <w:unhideWhenUsed/>
    <w:rsid w:val="00883511"/>
    <w:rPr>
      <w:color w:val="954F72"/>
      <w:u w:val="single"/>
    </w:rPr>
  </w:style>
  <w:style w:type="character" w:customStyle="1" w:styleId="10">
    <w:name w:val="未处理的提及1"/>
    <w:uiPriority w:val="99"/>
    <w:semiHidden/>
    <w:unhideWhenUsed/>
    <w:rsid w:val="00BD2B83"/>
    <w:rPr>
      <w:color w:val="808080"/>
      <w:shd w:val="clear" w:color="auto" w:fill="E6E6E6"/>
    </w:rPr>
  </w:style>
  <w:style w:type="character" w:customStyle="1" w:styleId="UnresolvedMention1">
    <w:name w:val="Unresolved Mention1"/>
    <w:basedOn w:val="DefaultParagraphFont"/>
    <w:uiPriority w:val="99"/>
    <w:semiHidden/>
    <w:unhideWhenUsed/>
    <w:rsid w:val="0085306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64"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auto"/>
    </w:tcPr>
  </w:style>
  <w:style w:type="table" w:customStyle="1" w:styleId="a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13E7A"/>
    <w:rPr>
      <w:color w:val="605E5C"/>
      <w:shd w:val="clear" w:color="auto" w:fill="E1DFDD"/>
    </w:rPr>
  </w:style>
  <w:style w:type="paragraph" w:styleId="NormalWeb">
    <w:name w:val="Normal (Web)"/>
    <w:basedOn w:val="Normal"/>
    <w:uiPriority w:val="99"/>
    <w:semiHidden/>
    <w:unhideWhenUsed/>
    <w:rsid w:val="000A68A0"/>
    <w:rPr>
      <w:rFonts w:ascii="Times New Roman" w:hAnsi="Times New Roman" w:cs="Times New Roman"/>
      <w:sz w:val="24"/>
      <w:szCs w:val="24"/>
    </w:rPr>
  </w:style>
  <w:style w:type="paragraph" w:styleId="Caption">
    <w:name w:val="caption"/>
    <w:basedOn w:val="Normal"/>
    <w:next w:val="Normal"/>
    <w:uiPriority w:val="35"/>
    <w:unhideWhenUsed/>
    <w:qFormat/>
    <w:rsid w:val="00075611"/>
    <w:pPr>
      <w:spacing w:after="200"/>
    </w:pPr>
    <w:rPr>
      <w:i/>
      <w:iCs/>
      <w:color w:val="44546A" w:themeColor="text2"/>
      <w:sz w:val="18"/>
      <w:szCs w:val="18"/>
    </w:rPr>
  </w:style>
  <w:style w:type="paragraph" w:styleId="ListParagraph">
    <w:name w:val="List Paragraph"/>
    <w:basedOn w:val="Normal"/>
    <w:uiPriority w:val="34"/>
    <w:qFormat/>
    <w:rsid w:val="004E3AE6"/>
    <w:pPr>
      <w:ind w:left="720"/>
      <w:contextualSpacing/>
    </w:pPr>
  </w:style>
  <w:style w:type="character" w:styleId="PlaceholderText">
    <w:name w:val="Placeholder Text"/>
    <w:basedOn w:val="DefaultParagraphFont"/>
    <w:uiPriority w:val="99"/>
    <w:semiHidden/>
    <w:rsid w:val="00A27FD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4403">
      <w:bodyDiv w:val="1"/>
      <w:marLeft w:val="0"/>
      <w:marRight w:val="0"/>
      <w:marTop w:val="0"/>
      <w:marBottom w:val="0"/>
      <w:divBdr>
        <w:top w:val="none" w:sz="0" w:space="0" w:color="auto"/>
        <w:left w:val="none" w:sz="0" w:space="0" w:color="auto"/>
        <w:bottom w:val="none" w:sz="0" w:space="0" w:color="auto"/>
        <w:right w:val="none" w:sz="0" w:space="0" w:color="auto"/>
      </w:divBdr>
    </w:div>
    <w:div w:id="198595290">
      <w:bodyDiv w:val="1"/>
      <w:marLeft w:val="0"/>
      <w:marRight w:val="0"/>
      <w:marTop w:val="0"/>
      <w:marBottom w:val="0"/>
      <w:divBdr>
        <w:top w:val="none" w:sz="0" w:space="0" w:color="auto"/>
        <w:left w:val="none" w:sz="0" w:space="0" w:color="auto"/>
        <w:bottom w:val="none" w:sz="0" w:space="0" w:color="auto"/>
        <w:right w:val="none" w:sz="0" w:space="0" w:color="auto"/>
      </w:divBdr>
    </w:div>
    <w:div w:id="201284096">
      <w:bodyDiv w:val="1"/>
      <w:marLeft w:val="0"/>
      <w:marRight w:val="0"/>
      <w:marTop w:val="0"/>
      <w:marBottom w:val="0"/>
      <w:divBdr>
        <w:top w:val="none" w:sz="0" w:space="0" w:color="auto"/>
        <w:left w:val="none" w:sz="0" w:space="0" w:color="auto"/>
        <w:bottom w:val="none" w:sz="0" w:space="0" w:color="auto"/>
        <w:right w:val="none" w:sz="0" w:space="0" w:color="auto"/>
      </w:divBdr>
    </w:div>
    <w:div w:id="232202232">
      <w:bodyDiv w:val="1"/>
      <w:marLeft w:val="0"/>
      <w:marRight w:val="0"/>
      <w:marTop w:val="0"/>
      <w:marBottom w:val="0"/>
      <w:divBdr>
        <w:top w:val="none" w:sz="0" w:space="0" w:color="auto"/>
        <w:left w:val="none" w:sz="0" w:space="0" w:color="auto"/>
        <w:bottom w:val="none" w:sz="0" w:space="0" w:color="auto"/>
        <w:right w:val="none" w:sz="0" w:space="0" w:color="auto"/>
      </w:divBdr>
    </w:div>
    <w:div w:id="247622308">
      <w:bodyDiv w:val="1"/>
      <w:marLeft w:val="0"/>
      <w:marRight w:val="0"/>
      <w:marTop w:val="0"/>
      <w:marBottom w:val="0"/>
      <w:divBdr>
        <w:top w:val="none" w:sz="0" w:space="0" w:color="auto"/>
        <w:left w:val="none" w:sz="0" w:space="0" w:color="auto"/>
        <w:bottom w:val="none" w:sz="0" w:space="0" w:color="auto"/>
        <w:right w:val="none" w:sz="0" w:space="0" w:color="auto"/>
      </w:divBdr>
    </w:div>
    <w:div w:id="295792169">
      <w:bodyDiv w:val="1"/>
      <w:marLeft w:val="0"/>
      <w:marRight w:val="0"/>
      <w:marTop w:val="0"/>
      <w:marBottom w:val="0"/>
      <w:divBdr>
        <w:top w:val="none" w:sz="0" w:space="0" w:color="auto"/>
        <w:left w:val="none" w:sz="0" w:space="0" w:color="auto"/>
        <w:bottom w:val="none" w:sz="0" w:space="0" w:color="auto"/>
        <w:right w:val="none" w:sz="0" w:space="0" w:color="auto"/>
      </w:divBdr>
    </w:div>
    <w:div w:id="365251940">
      <w:bodyDiv w:val="1"/>
      <w:marLeft w:val="0"/>
      <w:marRight w:val="0"/>
      <w:marTop w:val="0"/>
      <w:marBottom w:val="0"/>
      <w:divBdr>
        <w:top w:val="none" w:sz="0" w:space="0" w:color="auto"/>
        <w:left w:val="none" w:sz="0" w:space="0" w:color="auto"/>
        <w:bottom w:val="none" w:sz="0" w:space="0" w:color="auto"/>
        <w:right w:val="none" w:sz="0" w:space="0" w:color="auto"/>
      </w:divBdr>
    </w:div>
    <w:div w:id="369955905">
      <w:bodyDiv w:val="1"/>
      <w:marLeft w:val="0"/>
      <w:marRight w:val="0"/>
      <w:marTop w:val="0"/>
      <w:marBottom w:val="0"/>
      <w:divBdr>
        <w:top w:val="none" w:sz="0" w:space="0" w:color="auto"/>
        <w:left w:val="none" w:sz="0" w:space="0" w:color="auto"/>
        <w:bottom w:val="none" w:sz="0" w:space="0" w:color="auto"/>
        <w:right w:val="none" w:sz="0" w:space="0" w:color="auto"/>
      </w:divBdr>
    </w:div>
    <w:div w:id="536283077">
      <w:bodyDiv w:val="1"/>
      <w:marLeft w:val="0"/>
      <w:marRight w:val="0"/>
      <w:marTop w:val="0"/>
      <w:marBottom w:val="0"/>
      <w:divBdr>
        <w:top w:val="none" w:sz="0" w:space="0" w:color="auto"/>
        <w:left w:val="none" w:sz="0" w:space="0" w:color="auto"/>
        <w:bottom w:val="none" w:sz="0" w:space="0" w:color="auto"/>
        <w:right w:val="none" w:sz="0" w:space="0" w:color="auto"/>
      </w:divBdr>
    </w:div>
    <w:div w:id="602305123">
      <w:bodyDiv w:val="1"/>
      <w:marLeft w:val="0"/>
      <w:marRight w:val="0"/>
      <w:marTop w:val="0"/>
      <w:marBottom w:val="0"/>
      <w:divBdr>
        <w:top w:val="none" w:sz="0" w:space="0" w:color="auto"/>
        <w:left w:val="none" w:sz="0" w:space="0" w:color="auto"/>
        <w:bottom w:val="none" w:sz="0" w:space="0" w:color="auto"/>
        <w:right w:val="none" w:sz="0" w:space="0" w:color="auto"/>
      </w:divBdr>
    </w:div>
    <w:div w:id="637221921">
      <w:bodyDiv w:val="1"/>
      <w:marLeft w:val="0"/>
      <w:marRight w:val="0"/>
      <w:marTop w:val="0"/>
      <w:marBottom w:val="0"/>
      <w:divBdr>
        <w:top w:val="none" w:sz="0" w:space="0" w:color="auto"/>
        <w:left w:val="none" w:sz="0" w:space="0" w:color="auto"/>
        <w:bottom w:val="none" w:sz="0" w:space="0" w:color="auto"/>
        <w:right w:val="none" w:sz="0" w:space="0" w:color="auto"/>
      </w:divBdr>
    </w:div>
    <w:div w:id="654573921">
      <w:bodyDiv w:val="1"/>
      <w:marLeft w:val="0"/>
      <w:marRight w:val="0"/>
      <w:marTop w:val="0"/>
      <w:marBottom w:val="0"/>
      <w:divBdr>
        <w:top w:val="none" w:sz="0" w:space="0" w:color="auto"/>
        <w:left w:val="none" w:sz="0" w:space="0" w:color="auto"/>
        <w:bottom w:val="none" w:sz="0" w:space="0" w:color="auto"/>
        <w:right w:val="none" w:sz="0" w:space="0" w:color="auto"/>
      </w:divBdr>
    </w:div>
    <w:div w:id="760756119">
      <w:bodyDiv w:val="1"/>
      <w:marLeft w:val="0"/>
      <w:marRight w:val="0"/>
      <w:marTop w:val="0"/>
      <w:marBottom w:val="0"/>
      <w:divBdr>
        <w:top w:val="none" w:sz="0" w:space="0" w:color="auto"/>
        <w:left w:val="none" w:sz="0" w:space="0" w:color="auto"/>
        <w:bottom w:val="none" w:sz="0" w:space="0" w:color="auto"/>
        <w:right w:val="none" w:sz="0" w:space="0" w:color="auto"/>
      </w:divBdr>
    </w:div>
    <w:div w:id="824277514">
      <w:bodyDiv w:val="1"/>
      <w:marLeft w:val="0"/>
      <w:marRight w:val="0"/>
      <w:marTop w:val="0"/>
      <w:marBottom w:val="0"/>
      <w:divBdr>
        <w:top w:val="none" w:sz="0" w:space="0" w:color="auto"/>
        <w:left w:val="none" w:sz="0" w:space="0" w:color="auto"/>
        <w:bottom w:val="none" w:sz="0" w:space="0" w:color="auto"/>
        <w:right w:val="none" w:sz="0" w:space="0" w:color="auto"/>
      </w:divBdr>
    </w:div>
    <w:div w:id="826824425">
      <w:bodyDiv w:val="1"/>
      <w:marLeft w:val="0"/>
      <w:marRight w:val="0"/>
      <w:marTop w:val="0"/>
      <w:marBottom w:val="0"/>
      <w:divBdr>
        <w:top w:val="none" w:sz="0" w:space="0" w:color="auto"/>
        <w:left w:val="none" w:sz="0" w:space="0" w:color="auto"/>
        <w:bottom w:val="none" w:sz="0" w:space="0" w:color="auto"/>
        <w:right w:val="none" w:sz="0" w:space="0" w:color="auto"/>
      </w:divBdr>
    </w:div>
    <w:div w:id="893197368">
      <w:bodyDiv w:val="1"/>
      <w:marLeft w:val="0"/>
      <w:marRight w:val="0"/>
      <w:marTop w:val="0"/>
      <w:marBottom w:val="0"/>
      <w:divBdr>
        <w:top w:val="none" w:sz="0" w:space="0" w:color="auto"/>
        <w:left w:val="none" w:sz="0" w:space="0" w:color="auto"/>
        <w:bottom w:val="none" w:sz="0" w:space="0" w:color="auto"/>
        <w:right w:val="none" w:sz="0" w:space="0" w:color="auto"/>
      </w:divBdr>
    </w:div>
    <w:div w:id="928543750">
      <w:bodyDiv w:val="1"/>
      <w:marLeft w:val="0"/>
      <w:marRight w:val="0"/>
      <w:marTop w:val="0"/>
      <w:marBottom w:val="0"/>
      <w:divBdr>
        <w:top w:val="none" w:sz="0" w:space="0" w:color="auto"/>
        <w:left w:val="none" w:sz="0" w:space="0" w:color="auto"/>
        <w:bottom w:val="none" w:sz="0" w:space="0" w:color="auto"/>
        <w:right w:val="none" w:sz="0" w:space="0" w:color="auto"/>
      </w:divBdr>
    </w:div>
    <w:div w:id="983390281">
      <w:bodyDiv w:val="1"/>
      <w:marLeft w:val="0"/>
      <w:marRight w:val="0"/>
      <w:marTop w:val="0"/>
      <w:marBottom w:val="0"/>
      <w:divBdr>
        <w:top w:val="none" w:sz="0" w:space="0" w:color="auto"/>
        <w:left w:val="none" w:sz="0" w:space="0" w:color="auto"/>
        <w:bottom w:val="none" w:sz="0" w:space="0" w:color="auto"/>
        <w:right w:val="none" w:sz="0" w:space="0" w:color="auto"/>
      </w:divBdr>
    </w:div>
    <w:div w:id="1005594145">
      <w:bodyDiv w:val="1"/>
      <w:marLeft w:val="0"/>
      <w:marRight w:val="0"/>
      <w:marTop w:val="0"/>
      <w:marBottom w:val="0"/>
      <w:divBdr>
        <w:top w:val="none" w:sz="0" w:space="0" w:color="auto"/>
        <w:left w:val="none" w:sz="0" w:space="0" w:color="auto"/>
        <w:bottom w:val="none" w:sz="0" w:space="0" w:color="auto"/>
        <w:right w:val="none" w:sz="0" w:space="0" w:color="auto"/>
      </w:divBdr>
    </w:div>
    <w:div w:id="1096049301">
      <w:bodyDiv w:val="1"/>
      <w:marLeft w:val="0"/>
      <w:marRight w:val="0"/>
      <w:marTop w:val="0"/>
      <w:marBottom w:val="0"/>
      <w:divBdr>
        <w:top w:val="none" w:sz="0" w:space="0" w:color="auto"/>
        <w:left w:val="none" w:sz="0" w:space="0" w:color="auto"/>
        <w:bottom w:val="none" w:sz="0" w:space="0" w:color="auto"/>
        <w:right w:val="none" w:sz="0" w:space="0" w:color="auto"/>
      </w:divBdr>
    </w:div>
    <w:div w:id="1105424696">
      <w:bodyDiv w:val="1"/>
      <w:marLeft w:val="0"/>
      <w:marRight w:val="0"/>
      <w:marTop w:val="0"/>
      <w:marBottom w:val="0"/>
      <w:divBdr>
        <w:top w:val="none" w:sz="0" w:space="0" w:color="auto"/>
        <w:left w:val="none" w:sz="0" w:space="0" w:color="auto"/>
        <w:bottom w:val="none" w:sz="0" w:space="0" w:color="auto"/>
        <w:right w:val="none" w:sz="0" w:space="0" w:color="auto"/>
      </w:divBdr>
    </w:div>
    <w:div w:id="1163938288">
      <w:bodyDiv w:val="1"/>
      <w:marLeft w:val="0"/>
      <w:marRight w:val="0"/>
      <w:marTop w:val="0"/>
      <w:marBottom w:val="0"/>
      <w:divBdr>
        <w:top w:val="none" w:sz="0" w:space="0" w:color="auto"/>
        <w:left w:val="none" w:sz="0" w:space="0" w:color="auto"/>
        <w:bottom w:val="none" w:sz="0" w:space="0" w:color="auto"/>
        <w:right w:val="none" w:sz="0" w:space="0" w:color="auto"/>
      </w:divBdr>
    </w:div>
    <w:div w:id="1202749113">
      <w:bodyDiv w:val="1"/>
      <w:marLeft w:val="0"/>
      <w:marRight w:val="0"/>
      <w:marTop w:val="0"/>
      <w:marBottom w:val="0"/>
      <w:divBdr>
        <w:top w:val="none" w:sz="0" w:space="0" w:color="auto"/>
        <w:left w:val="none" w:sz="0" w:space="0" w:color="auto"/>
        <w:bottom w:val="none" w:sz="0" w:space="0" w:color="auto"/>
        <w:right w:val="none" w:sz="0" w:space="0" w:color="auto"/>
      </w:divBdr>
    </w:div>
    <w:div w:id="1220702992">
      <w:bodyDiv w:val="1"/>
      <w:marLeft w:val="0"/>
      <w:marRight w:val="0"/>
      <w:marTop w:val="0"/>
      <w:marBottom w:val="0"/>
      <w:divBdr>
        <w:top w:val="none" w:sz="0" w:space="0" w:color="auto"/>
        <w:left w:val="none" w:sz="0" w:space="0" w:color="auto"/>
        <w:bottom w:val="none" w:sz="0" w:space="0" w:color="auto"/>
        <w:right w:val="none" w:sz="0" w:space="0" w:color="auto"/>
      </w:divBdr>
    </w:div>
    <w:div w:id="1226719769">
      <w:bodyDiv w:val="1"/>
      <w:marLeft w:val="0"/>
      <w:marRight w:val="0"/>
      <w:marTop w:val="0"/>
      <w:marBottom w:val="0"/>
      <w:divBdr>
        <w:top w:val="none" w:sz="0" w:space="0" w:color="auto"/>
        <w:left w:val="none" w:sz="0" w:space="0" w:color="auto"/>
        <w:bottom w:val="none" w:sz="0" w:space="0" w:color="auto"/>
        <w:right w:val="none" w:sz="0" w:space="0" w:color="auto"/>
      </w:divBdr>
    </w:div>
    <w:div w:id="1229530791">
      <w:bodyDiv w:val="1"/>
      <w:marLeft w:val="0"/>
      <w:marRight w:val="0"/>
      <w:marTop w:val="0"/>
      <w:marBottom w:val="0"/>
      <w:divBdr>
        <w:top w:val="none" w:sz="0" w:space="0" w:color="auto"/>
        <w:left w:val="none" w:sz="0" w:space="0" w:color="auto"/>
        <w:bottom w:val="none" w:sz="0" w:space="0" w:color="auto"/>
        <w:right w:val="none" w:sz="0" w:space="0" w:color="auto"/>
      </w:divBdr>
    </w:div>
    <w:div w:id="1334067492">
      <w:bodyDiv w:val="1"/>
      <w:marLeft w:val="0"/>
      <w:marRight w:val="0"/>
      <w:marTop w:val="0"/>
      <w:marBottom w:val="0"/>
      <w:divBdr>
        <w:top w:val="none" w:sz="0" w:space="0" w:color="auto"/>
        <w:left w:val="none" w:sz="0" w:space="0" w:color="auto"/>
        <w:bottom w:val="none" w:sz="0" w:space="0" w:color="auto"/>
        <w:right w:val="none" w:sz="0" w:space="0" w:color="auto"/>
      </w:divBdr>
    </w:div>
    <w:div w:id="1377006196">
      <w:bodyDiv w:val="1"/>
      <w:marLeft w:val="0"/>
      <w:marRight w:val="0"/>
      <w:marTop w:val="0"/>
      <w:marBottom w:val="0"/>
      <w:divBdr>
        <w:top w:val="none" w:sz="0" w:space="0" w:color="auto"/>
        <w:left w:val="none" w:sz="0" w:space="0" w:color="auto"/>
        <w:bottom w:val="none" w:sz="0" w:space="0" w:color="auto"/>
        <w:right w:val="none" w:sz="0" w:space="0" w:color="auto"/>
      </w:divBdr>
    </w:div>
    <w:div w:id="1378312500">
      <w:bodyDiv w:val="1"/>
      <w:marLeft w:val="0"/>
      <w:marRight w:val="0"/>
      <w:marTop w:val="0"/>
      <w:marBottom w:val="0"/>
      <w:divBdr>
        <w:top w:val="none" w:sz="0" w:space="0" w:color="auto"/>
        <w:left w:val="none" w:sz="0" w:space="0" w:color="auto"/>
        <w:bottom w:val="none" w:sz="0" w:space="0" w:color="auto"/>
        <w:right w:val="none" w:sz="0" w:space="0" w:color="auto"/>
      </w:divBdr>
    </w:div>
    <w:div w:id="1456363517">
      <w:bodyDiv w:val="1"/>
      <w:marLeft w:val="0"/>
      <w:marRight w:val="0"/>
      <w:marTop w:val="0"/>
      <w:marBottom w:val="0"/>
      <w:divBdr>
        <w:top w:val="none" w:sz="0" w:space="0" w:color="auto"/>
        <w:left w:val="none" w:sz="0" w:space="0" w:color="auto"/>
        <w:bottom w:val="none" w:sz="0" w:space="0" w:color="auto"/>
        <w:right w:val="none" w:sz="0" w:space="0" w:color="auto"/>
      </w:divBdr>
    </w:div>
    <w:div w:id="1553617941">
      <w:bodyDiv w:val="1"/>
      <w:marLeft w:val="0"/>
      <w:marRight w:val="0"/>
      <w:marTop w:val="0"/>
      <w:marBottom w:val="0"/>
      <w:divBdr>
        <w:top w:val="none" w:sz="0" w:space="0" w:color="auto"/>
        <w:left w:val="none" w:sz="0" w:space="0" w:color="auto"/>
        <w:bottom w:val="none" w:sz="0" w:space="0" w:color="auto"/>
        <w:right w:val="none" w:sz="0" w:space="0" w:color="auto"/>
      </w:divBdr>
    </w:div>
    <w:div w:id="1558709858">
      <w:bodyDiv w:val="1"/>
      <w:marLeft w:val="0"/>
      <w:marRight w:val="0"/>
      <w:marTop w:val="0"/>
      <w:marBottom w:val="0"/>
      <w:divBdr>
        <w:top w:val="none" w:sz="0" w:space="0" w:color="auto"/>
        <w:left w:val="none" w:sz="0" w:space="0" w:color="auto"/>
        <w:bottom w:val="none" w:sz="0" w:space="0" w:color="auto"/>
        <w:right w:val="none" w:sz="0" w:space="0" w:color="auto"/>
      </w:divBdr>
    </w:div>
    <w:div w:id="1559972827">
      <w:bodyDiv w:val="1"/>
      <w:marLeft w:val="0"/>
      <w:marRight w:val="0"/>
      <w:marTop w:val="0"/>
      <w:marBottom w:val="0"/>
      <w:divBdr>
        <w:top w:val="none" w:sz="0" w:space="0" w:color="auto"/>
        <w:left w:val="none" w:sz="0" w:space="0" w:color="auto"/>
        <w:bottom w:val="none" w:sz="0" w:space="0" w:color="auto"/>
        <w:right w:val="none" w:sz="0" w:space="0" w:color="auto"/>
      </w:divBdr>
    </w:div>
    <w:div w:id="1599869869">
      <w:bodyDiv w:val="1"/>
      <w:marLeft w:val="0"/>
      <w:marRight w:val="0"/>
      <w:marTop w:val="0"/>
      <w:marBottom w:val="0"/>
      <w:divBdr>
        <w:top w:val="none" w:sz="0" w:space="0" w:color="auto"/>
        <w:left w:val="none" w:sz="0" w:space="0" w:color="auto"/>
        <w:bottom w:val="none" w:sz="0" w:space="0" w:color="auto"/>
        <w:right w:val="none" w:sz="0" w:space="0" w:color="auto"/>
      </w:divBdr>
    </w:div>
    <w:div w:id="1654335880">
      <w:bodyDiv w:val="1"/>
      <w:marLeft w:val="0"/>
      <w:marRight w:val="0"/>
      <w:marTop w:val="0"/>
      <w:marBottom w:val="0"/>
      <w:divBdr>
        <w:top w:val="none" w:sz="0" w:space="0" w:color="auto"/>
        <w:left w:val="none" w:sz="0" w:space="0" w:color="auto"/>
        <w:bottom w:val="none" w:sz="0" w:space="0" w:color="auto"/>
        <w:right w:val="none" w:sz="0" w:space="0" w:color="auto"/>
      </w:divBdr>
    </w:div>
    <w:div w:id="1763838273">
      <w:bodyDiv w:val="1"/>
      <w:marLeft w:val="0"/>
      <w:marRight w:val="0"/>
      <w:marTop w:val="0"/>
      <w:marBottom w:val="0"/>
      <w:divBdr>
        <w:top w:val="none" w:sz="0" w:space="0" w:color="auto"/>
        <w:left w:val="none" w:sz="0" w:space="0" w:color="auto"/>
        <w:bottom w:val="none" w:sz="0" w:space="0" w:color="auto"/>
        <w:right w:val="none" w:sz="0" w:space="0" w:color="auto"/>
      </w:divBdr>
    </w:div>
    <w:div w:id="1772504672">
      <w:bodyDiv w:val="1"/>
      <w:marLeft w:val="0"/>
      <w:marRight w:val="0"/>
      <w:marTop w:val="0"/>
      <w:marBottom w:val="0"/>
      <w:divBdr>
        <w:top w:val="none" w:sz="0" w:space="0" w:color="auto"/>
        <w:left w:val="none" w:sz="0" w:space="0" w:color="auto"/>
        <w:bottom w:val="none" w:sz="0" w:space="0" w:color="auto"/>
        <w:right w:val="none" w:sz="0" w:space="0" w:color="auto"/>
      </w:divBdr>
    </w:div>
    <w:div w:id="1782798515">
      <w:bodyDiv w:val="1"/>
      <w:marLeft w:val="0"/>
      <w:marRight w:val="0"/>
      <w:marTop w:val="0"/>
      <w:marBottom w:val="0"/>
      <w:divBdr>
        <w:top w:val="none" w:sz="0" w:space="0" w:color="auto"/>
        <w:left w:val="none" w:sz="0" w:space="0" w:color="auto"/>
        <w:bottom w:val="none" w:sz="0" w:space="0" w:color="auto"/>
        <w:right w:val="none" w:sz="0" w:space="0" w:color="auto"/>
      </w:divBdr>
    </w:div>
    <w:div w:id="1793282363">
      <w:bodyDiv w:val="1"/>
      <w:marLeft w:val="0"/>
      <w:marRight w:val="0"/>
      <w:marTop w:val="0"/>
      <w:marBottom w:val="0"/>
      <w:divBdr>
        <w:top w:val="none" w:sz="0" w:space="0" w:color="auto"/>
        <w:left w:val="none" w:sz="0" w:space="0" w:color="auto"/>
        <w:bottom w:val="none" w:sz="0" w:space="0" w:color="auto"/>
        <w:right w:val="none" w:sz="0" w:space="0" w:color="auto"/>
      </w:divBdr>
    </w:div>
    <w:div w:id="1813401457">
      <w:bodyDiv w:val="1"/>
      <w:marLeft w:val="0"/>
      <w:marRight w:val="0"/>
      <w:marTop w:val="0"/>
      <w:marBottom w:val="0"/>
      <w:divBdr>
        <w:top w:val="none" w:sz="0" w:space="0" w:color="auto"/>
        <w:left w:val="none" w:sz="0" w:space="0" w:color="auto"/>
        <w:bottom w:val="none" w:sz="0" w:space="0" w:color="auto"/>
        <w:right w:val="none" w:sz="0" w:space="0" w:color="auto"/>
      </w:divBdr>
    </w:div>
    <w:div w:id="1815561122">
      <w:bodyDiv w:val="1"/>
      <w:marLeft w:val="0"/>
      <w:marRight w:val="0"/>
      <w:marTop w:val="0"/>
      <w:marBottom w:val="0"/>
      <w:divBdr>
        <w:top w:val="none" w:sz="0" w:space="0" w:color="auto"/>
        <w:left w:val="none" w:sz="0" w:space="0" w:color="auto"/>
        <w:bottom w:val="none" w:sz="0" w:space="0" w:color="auto"/>
        <w:right w:val="none" w:sz="0" w:space="0" w:color="auto"/>
      </w:divBdr>
    </w:div>
    <w:div w:id="1866628261">
      <w:bodyDiv w:val="1"/>
      <w:marLeft w:val="0"/>
      <w:marRight w:val="0"/>
      <w:marTop w:val="0"/>
      <w:marBottom w:val="0"/>
      <w:divBdr>
        <w:top w:val="none" w:sz="0" w:space="0" w:color="auto"/>
        <w:left w:val="none" w:sz="0" w:space="0" w:color="auto"/>
        <w:bottom w:val="none" w:sz="0" w:space="0" w:color="auto"/>
        <w:right w:val="none" w:sz="0" w:space="0" w:color="auto"/>
      </w:divBdr>
    </w:div>
    <w:div w:id="1889679624">
      <w:bodyDiv w:val="1"/>
      <w:marLeft w:val="0"/>
      <w:marRight w:val="0"/>
      <w:marTop w:val="0"/>
      <w:marBottom w:val="0"/>
      <w:divBdr>
        <w:top w:val="none" w:sz="0" w:space="0" w:color="auto"/>
        <w:left w:val="none" w:sz="0" w:space="0" w:color="auto"/>
        <w:bottom w:val="none" w:sz="0" w:space="0" w:color="auto"/>
        <w:right w:val="none" w:sz="0" w:space="0" w:color="auto"/>
      </w:divBdr>
    </w:div>
    <w:div w:id="2008827103">
      <w:bodyDiv w:val="1"/>
      <w:marLeft w:val="0"/>
      <w:marRight w:val="0"/>
      <w:marTop w:val="0"/>
      <w:marBottom w:val="0"/>
      <w:divBdr>
        <w:top w:val="none" w:sz="0" w:space="0" w:color="auto"/>
        <w:left w:val="none" w:sz="0" w:space="0" w:color="auto"/>
        <w:bottom w:val="none" w:sz="0" w:space="0" w:color="auto"/>
        <w:right w:val="none" w:sz="0" w:space="0" w:color="auto"/>
      </w:divBdr>
    </w:div>
    <w:div w:id="2081518985">
      <w:bodyDiv w:val="1"/>
      <w:marLeft w:val="0"/>
      <w:marRight w:val="0"/>
      <w:marTop w:val="0"/>
      <w:marBottom w:val="0"/>
      <w:divBdr>
        <w:top w:val="none" w:sz="0" w:space="0" w:color="auto"/>
        <w:left w:val="none" w:sz="0" w:space="0" w:color="auto"/>
        <w:bottom w:val="none" w:sz="0" w:space="0" w:color="auto"/>
        <w:right w:val="none" w:sz="0" w:space="0" w:color="auto"/>
      </w:divBdr>
    </w:div>
    <w:div w:id="2099792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pitam@unisa.ac.za"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tWGW3qraFny+RQw+6aPyS7zcrQ==">CgMxLjAyDmguZnB1N2Ywand6Nmc5MgppZC4zMGowemxsMglpZC5namRneHMyCmlkLjFmb2I5dGUyCmlkLjN6bnlzaDcyCmlkLjJldDkycDAyCWlkLnR5amN3dDIKaWQuM2R5NnZrbTIKaWQuMXQzaDVzZjIKaWQuMnM4ZXlvMTIKaWQuNGQzNG9nODIKaWQuMTdkcDh2dTIKaWQuM3JkY3JqbjIKaWQuMjZpbjFyZzIJaWQubG54Yno5OAByITFTdUVIQmhzbWlKdVg2N2pvbFhjUEwxV2NFTnpFYV8x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89370F-308C-4C59-BF35-22F05397B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8</Pages>
  <Words>15967</Words>
  <Characters>91018</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IJHT</dc:creator>
  <cp:lastModifiedBy>Ramanamane, Nthabiseng Jane</cp:lastModifiedBy>
  <cp:revision>48</cp:revision>
  <dcterms:created xsi:type="dcterms:W3CDTF">2025-01-06T22:49:00Z</dcterms:created>
  <dcterms:modified xsi:type="dcterms:W3CDTF">2025-01-08T00:26:00Z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http://www.zotero.org/styles/crystals</vt:lpwstr>
  </property>
  <property fmtid="{D5CDD505-2E9C-101B-9397-08002B2CF9AE}" pid="12" name="Mendeley Recent Style Name 4_1">
    <vt:lpwstr>Crystals</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http://csl.mendeley.com/styles/609898611/american-journal-of-translational-research</vt:lpwstr>
  </property>
  <property fmtid="{D5CDD505-2E9C-101B-9397-08002B2CF9AE}" pid="22" name="Mendeley Recent Style Name 9_1">
    <vt:lpwstr>UNISA</vt:lpwstr>
  </property>
  <property fmtid="{D5CDD505-2E9C-101B-9397-08002B2CF9AE}" pid="23" name="Mendeley Document_1">
    <vt:lpwstr>True</vt:lpwstr>
  </property>
  <property fmtid="{D5CDD505-2E9C-101B-9397-08002B2CF9AE}" pid="24" name="Mendeley Unique User Id_1">
    <vt:lpwstr>74c22ffa-42ab-3e69-b738-aa6b0f61b1ad</vt:lpwstr>
  </property>
  <property fmtid="{D5CDD505-2E9C-101B-9397-08002B2CF9AE}" pid="25" name="Mendeley Citation Style_1">
    <vt:lpwstr>http://csl.mendeley.com/styles/609898611/american-journal-of-translational-research</vt:lpwstr>
  </property>
</Properties>
</file>